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F7C" w:rsidRDefault="004120B8">
      <w:pPr>
        <w:spacing w:line="240" w:lineRule="auto"/>
        <w:jc w:val="both"/>
      </w:pPr>
      <w:r>
        <w:rPr>
          <w:b/>
          <w:sz w:val="40"/>
          <w:szCs w:val="40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-296544</wp:posOffset>
            </wp:positionH>
            <wp:positionV relativeFrom="paragraph">
              <wp:posOffset>-93344</wp:posOffset>
            </wp:positionV>
            <wp:extent cx="1252220" cy="371475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4612640</wp:posOffset>
            </wp:positionH>
            <wp:positionV relativeFrom="paragraph">
              <wp:posOffset>-31114</wp:posOffset>
            </wp:positionV>
            <wp:extent cx="1485900" cy="228600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1175385</wp:posOffset>
            </wp:positionH>
            <wp:positionV relativeFrom="paragraph">
              <wp:posOffset>-164464</wp:posOffset>
            </wp:positionV>
            <wp:extent cx="836930" cy="442595"/>
            <wp:effectExtent l="0" t="0" r="0" b="0"/>
            <wp:wrapSquare wrapText="bothSides" distT="0" distB="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0" hidden="0" allowOverlap="0">
            <wp:simplePos x="0" y="0"/>
            <wp:positionH relativeFrom="margin">
              <wp:posOffset>2517775</wp:posOffset>
            </wp:positionH>
            <wp:positionV relativeFrom="paragraph">
              <wp:posOffset>-50164</wp:posOffset>
            </wp:positionV>
            <wp:extent cx="1581150" cy="247650"/>
            <wp:effectExtent l="0" t="0" r="0" b="0"/>
            <wp:wrapSquare wrapText="bothSides" distT="0" distB="0" distL="114935" distR="114935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7F7C" w:rsidRDefault="004D7F7C">
      <w:pPr>
        <w:spacing w:line="240" w:lineRule="auto"/>
        <w:jc w:val="center"/>
      </w:pPr>
    </w:p>
    <w:p w:rsidR="004D7F7C" w:rsidRDefault="004120B8">
      <w:pPr>
        <w:spacing w:line="240" w:lineRule="auto"/>
        <w:jc w:val="center"/>
      </w:pPr>
      <w:r>
        <w:rPr>
          <w:b/>
          <w:sz w:val="40"/>
          <w:szCs w:val="40"/>
        </w:rPr>
        <w:tab/>
      </w:r>
    </w:p>
    <w:p w:rsidR="00BA36DF" w:rsidRDefault="00BA36DF">
      <w:pPr>
        <w:spacing w:line="240" w:lineRule="auto"/>
        <w:jc w:val="center"/>
        <w:rPr>
          <w:b/>
          <w:color w:val="222222"/>
          <w:sz w:val="32"/>
          <w:szCs w:val="32"/>
        </w:rPr>
      </w:pPr>
    </w:p>
    <w:p w:rsidR="00BA36DF" w:rsidRDefault="00A82C5B">
      <w:pPr>
        <w:spacing w:line="240" w:lineRule="auto"/>
        <w:jc w:val="center"/>
        <w:rPr>
          <w:b/>
          <w:color w:val="222222"/>
          <w:sz w:val="32"/>
          <w:szCs w:val="32"/>
        </w:rPr>
      </w:pPr>
      <w:r>
        <w:rPr>
          <w:noProof/>
        </w:rPr>
        <w:drawing>
          <wp:inline distT="0" distB="0" distL="0" distR="0">
            <wp:extent cx="2105025" cy="413487"/>
            <wp:effectExtent l="0" t="0" r="0" b="5715"/>
            <wp:docPr id="5" name="Obrázek 5" descr="http://www.platby.greenpeace.cz/www/logo_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tby.greenpeace.cz/www/logo_l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79" cy="41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DF" w:rsidRDefault="00BA36DF">
      <w:pPr>
        <w:spacing w:line="240" w:lineRule="auto"/>
        <w:jc w:val="center"/>
        <w:rPr>
          <w:b/>
          <w:color w:val="222222"/>
          <w:sz w:val="32"/>
          <w:szCs w:val="32"/>
        </w:rPr>
      </w:pPr>
    </w:p>
    <w:p w:rsidR="004D7F7C" w:rsidRDefault="004120B8">
      <w:pPr>
        <w:spacing w:line="240" w:lineRule="auto"/>
        <w:jc w:val="center"/>
      </w:pPr>
      <w:r>
        <w:rPr>
          <w:b/>
          <w:color w:val="222222"/>
          <w:sz w:val="32"/>
          <w:szCs w:val="32"/>
        </w:rPr>
        <w:t>Společná tisková zpráva</w:t>
      </w:r>
    </w:p>
    <w:p w:rsidR="004D7F7C" w:rsidRDefault="004D7F7C">
      <w:pPr>
        <w:spacing w:line="240" w:lineRule="auto"/>
        <w:jc w:val="center"/>
      </w:pPr>
    </w:p>
    <w:p w:rsidR="004D7F7C" w:rsidRDefault="004120B8">
      <w:pPr>
        <w:spacing w:line="240" w:lineRule="auto"/>
        <w:jc w:val="center"/>
      </w:pPr>
      <w:r>
        <w:rPr>
          <w:b/>
          <w:color w:val="222222"/>
          <w:sz w:val="40"/>
          <w:szCs w:val="40"/>
        </w:rPr>
        <w:t>Těžba uhlí za limity se nevyplatí. Vyplývá to</w:t>
      </w:r>
    </w:p>
    <w:p w:rsidR="004D7F7C" w:rsidRDefault="004120B8">
      <w:pPr>
        <w:spacing w:line="240" w:lineRule="auto"/>
        <w:jc w:val="center"/>
      </w:pPr>
      <w:r>
        <w:rPr>
          <w:b/>
          <w:color w:val="222222"/>
          <w:sz w:val="40"/>
          <w:szCs w:val="40"/>
        </w:rPr>
        <w:t>z nové studie ministerstva průmyslu a obchodu</w:t>
      </w:r>
    </w:p>
    <w:p w:rsidR="004D7F7C" w:rsidRDefault="004D7F7C">
      <w:pPr>
        <w:spacing w:line="240" w:lineRule="auto"/>
      </w:pPr>
    </w:p>
    <w:p w:rsidR="004D7F7C" w:rsidRDefault="004D7F7C">
      <w:pPr>
        <w:spacing w:line="240" w:lineRule="auto"/>
      </w:pP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4"/>
          <w:szCs w:val="24"/>
        </w:rPr>
        <w:t xml:space="preserve">                                                                                                            středa 2. září 2015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4"/>
          <w:szCs w:val="24"/>
        </w:rPr>
        <w:t>Ekonomické škody způsobené prolomením limitů těžby hnědého uhlí by čtyřnásobě převýšily ekonomické přínosy. Vyplývá to ze studie aktuálně zveřejněné ministerstvem průmyslu a obchodu (MPO).  Studie, kterou zpracovalo Centrum pro otázky životního prostředí Univerzity Karlovy (COŽP UK), analyzuje externí náklady těžby hnědého uhlí v severních Čechách</w:t>
      </w:r>
      <w:r w:rsidR="00BA36DF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[1] Podle expertů UK by vyšly na 25 miliard korun. </w:t>
      </w:r>
      <w:r w:rsidR="00BA36DF">
        <w:rPr>
          <w:color w:val="222222"/>
          <w:sz w:val="24"/>
          <w:szCs w:val="24"/>
        </w:rPr>
        <w:t>[2]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4"/>
          <w:szCs w:val="24"/>
        </w:rPr>
        <w:t xml:space="preserve">Zástupci ekologických organizací </w:t>
      </w:r>
      <w:r w:rsidR="00BA36DF">
        <w:rPr>
          <w:color w:val="222222"/>
          <w:sz w:val="24"/>
          <w:szCs w:val="24"/>
        </w:rPr>
        <w:t>očekávají</w:t>
      </w:r>
      <w:r>
        <w:rPr>
          <w:color w:val="222222"/>
          <w:sz w:val="24"/>
          <w:szCs w:val="24"/>
        </w:rPr>
        <w:t>, že MPO na základě nových výpočtů přehodnotí své stanovisko a doporučí vládě zachovat limity na velkolomech ČSA i Bílina. Porovnáním externích nákladů těžby ve výši 25 miliard a ekonomických přínosů ve výši 6,6 miliard korun [3] totiž jasně vyplývá, že rozšiřování těžby není pro Českou republiku výhodné.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4"/>
          <w:szCs w:val="24"/>
        </w:rPr>
        <w:t xml:space="preserve">Vláda má na návrh ministra Mládka rozhodnout o budoucnosti limitů již tento nebo příští měsíc. Pokud by se ministři rozhodli limity prolomit, připravili by tak o domov a snesitelné životní prostředí tisíce lidí na Litvínovsku, ale navíc by uškodili české ekonomice. Jedinými lidmi, kteří by na rozšíření dolů </w:t>
      </w:r>
      <w:r w:rsidR="00BA36DF">
        <w:rPr>
          <w:color w:val="222222"/>
          <w:sz w:val="24"/>
          <w:szCs w:val="24"/>
        </w:rPr>
        <w:t>velice v</w:t>
      </w:r>
      <w:r>
        <w:rPr>
          <w:color w:val="222222"/>
          <w:sz w:val="24"/>
          <w:szCs w:val="24"/>
        </w:rPr>
        <w:t>ydělali, jsou majitelé těžebních společností</w:t>
      </w:r>
      <w:r w:rsidR="00BA36DF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[4]</w:t>
      </w:r>
    </w:p>
    <w:p w:rsidR="004D7F7C" w:rsidRDefault="004D7F7C">
      <w:pPr>
        <w:spacing w:line="240" w:lineRule="auto"/>
      </w:pPr>
    </w:p>
    <w:p w:rsidR="008D1F96" w:rsidRDefault="004120B8">
      <w:pPr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Závěry studie externalit podporují zachování limitů i přesto, že ministerstvo při jejím zadání některé důležité dopady vynechalo. Za nejvážnější chybu pokládají ekologové vyloučení zdravotních dopadů na občany sousedních zemí. MPO tak dalo implicitně najevo, že životy a zdraví Němců, Poláků či Slováků pro něj nemají žádnou cenu - do vzniklé vzniklých nákladů se započítává pouze dopad na zdraví lidí žijících v České republice. Nebyly hodnoceny ani dopady spalování vytěženého uhlí v domácích topeništích, jejichž měrný dopad na zdraví je vyšší, než u velkých elektráren</w:t>
      </w:r>
      <w:r w:rsidR="00BA36DF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[5] </w:t>
      </w:r>
    </w:p>
    <w:p w:rsidR="008D1F96" w:rsidRDefault="008D1F96">
      <w:pPr>
        <w:spacing w:line="240" w:lineRule="auto"/>
        <w:rPr>
          <w:color w:val="222222"/>
          <w:sz w:val="24"/>
          <w:szCs w:val="24"/>
        </w:rPr>
      </w:pPr>
    </w:p>
    <w:p w:rsidR="004D7F7C" w:rsidRDefault="004120B8">
      <w:pPr>
        <w:spacing w:line="240" w:lineRule="auto"/>
      </w:pPr>
      <w:bookmarkStart w:id="0" w:name="_GoBack"/>
      <w:bookmarkEnd w:id="0"/>
      <w:r>
        <w:rPr>
          <w:color w:val="222222"/>
          <w:sz w:val="24"/>
          <w:szCs w:val="24"/>
        </w:rPr>
        <w:t>Ve studii vědci pro srovnání vyčíslili i škody, které by vládní rozhodnutí o prolomení limitů způsobilo v rámci EU a v globálním měřítku. Po započítání všech externích nákladů tak došli k částce 900 miliard korun</w:t>
      </w:r>
      <w:r w:rsidR="00BA36DF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[6] 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4"/>
          <w:szCs w:val="24"/>
        </w:rPr>
        <w:t>Asociace českých ekologických organizací Zelený kruh vyzvala vládu, aby neprodleně potvrdila zachování limitů těžby v současné podobě. Argumentuje nejen dopady na životní prostředí, ale také negativními sociálními a politickými následky porušení dlouhodobého kompromisu mezi místními</w:t>
      </w:r>
      <w:r w:rsidR="00BA36DF">
        <w:rPr>
          <w:color w:val="222222"/>
          <w:sz w:val="24"/>
          <w:szCs w:val="24"/>
        </w:rPr>
        <w:t xml:space="preserve"> lidmi a těžaři z roku 1991. [7]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b/>
          <w:color w:val="222222"/>
          <w:sz w:val="24"/>
          <w:szCs w:val="24"/>
        </w:rPr>
        <w:t>Jan Rovenský, vedoucí energetické kampaně Greenpeace ČR,</w:t>
      </w:r>
      <w:r>
        <w:rPr>
          <w:color w:val="222222"/>
          <w:sz w:val="24"/>
          <w:szCs w:val="24"/>
        </w:rPr>
        <w:t xml:space="preserve"> řekl: </w:t>
      </w:r>
    </w:p>
    <w:p w:rsidR="004D7F7C" w:rsidRDefault="004120B8">
      <w:pPr>
        <w:spacing w:line="240" w:lineRule="auto"/>
      </w:pPr>
      <w:bookmarkStart w:id="1" w:name="h.gjdgxs" w:colFirst="0" w:colLast="0"/>
      <w:bookmarkEnd w:id="1"/>
      <w:r>
        <w:rPr>
          <w:i/>
          <w:color w:val="222222"/>
          <w:sz w:val="24"/>
          <w:szCs w:val="24"/>
        </w:rPr>
        <w:t xml:space="preserve">„Pokud by byly započítány všechny negativní dopady po celou dobu těžby, dosáhly by podle vědců vzniklé škody neuvěřitelných 900 miliard. Ministerstvo průmyslu sice bere v </w:t>
      </w:r>
      <w:r>
        <w:rPr>
          <w:i/>
          <w:color w:val="222222"/>
          <w:sz w:val="24"/>
          <w:szCs w:val="24"/>
        </w:rPr>
        <w:lastRenderedPageBreak/>
        <w:t xml:space="preserve">potaz pouze zlomek této částky, ale i to bohatě stačí: na prolomení limitů by stát i daňoví poplatníci podle ministerských čísel výrazně prodělali. Naopak královské zisky by čekaly na pány Tykače a </w:t>
      </w:r>
      <w:proofErr w:type="spellStart"/>
      <w:r>
        <w:rPr>
          <w:i/>
          <w:color w:val="222222"/>
          <w:sz w:val="24"/>
          <w:szCs w:val="24"/>
        </w:rPr>
        <w:t>Dienstla</w:t>
      </w:r>
      <w:proofErr w:type="spellEnd"/>
      <w:r>
        <w:rPr>
          <w:i/>
          <w:color w:val="222222"/>
          <w:sz w:val="24"/>
          <w:szCs w:val="24"/>
        </w:rPr>
        <w:t>. Těžko najít pěknější příklad privatizace výnosů a socializace nákladů. Podobně “výhodné” rozhodnutí by politici ČSSD, ANO a lidovců svým voličům vysvětlovali fakt obtížně.“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b/>
          <w:color w:val="222222"/>
          <w:sz w:val="24"/>
          <w:szCs w:val="24"/>
        </w:rPr>
        <w:t xml:space="preserve">Jiří </w:t>
      </w:r>
      <w:proofErr w:type="spellStart"/>
      <w:r>
        <w:rPr>
          <w:b/>
          <w:color w:val="222222"/>
          <w:sz w:val="24"/>
          <w:szCs w:val="24"/>
        </w:rPr>
        <w:t>Koželouh</w:t>
      </w:r>
      <w:proofErr w:type="spellEnd"/>
      <w:r>
        <w:rPr>
          <w:b/>
          <w:color w:val="222222"/>
          <w:sz w:val="24"/>
          <w:szCs w:val="24"/>
        </w:rPr>
        <w:t>, programový ředitel Hnutí DUHA,</w:t>
      </w:r>
      <w:r>
        <w:rPr>
          <w:color w:val="222222"/>
          <w:sz w:val="24"/>
          <w:szCs w:val="24"/>
        </w:rPr>
        <w:t xml:space="preserve"> řekl:</w:t>
      </w:r>
    </w:p>
    <w:p w:rsidR="004D7F7C" w:rsidRDefault="004120B8">
      <w:pPr>
        <w:spacing w:line="240" w:lineRule="auto"/>
      </w:pPr>
      <w:r>
        <w:rPr>
          <w:i/>
          <w:sz w:val="24"/>
          <w:szCs w:val="24"/>
        </w:rPr>
        <w:t>„Prolomení limitů je ekonomicky nevýhodné, a to i pokud bychom přejali poněkud nacionalistický pohled, který si MPO objednalo a který nezapočítává dopady na zdraví a životy našich sousedů na Slovensku, v Německu či v Polsku. Ministři mohou pokrčit rameny nad tím, že rozhodnutí odnesou také lidé v chudých rozvojových zemích. Jenže zhoršování jejich životního prostředí je jednou z příčin, která je vyhání z domova. Mluvit o pomoci migrantům v zemích původu je na nic, pokud by jim ministři zároveň svým rozhodnutím uškodili."</w:t>
      </w:r>
      <w:r>
        <w:rPr>
          <w:i/>
          <w:color w:val="222222"/>
          <w:sz w:val="24"/>
          <w:szCs w:val="24"/>
        </w:rPr>
        <w:t xml:space="preserve"> 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b/>
          <w:color w:val="222222"/>
          <w:sz w:val="24"/>
          <w:szCs w:val="24"/>
        </w:rPr>
        <w:t xml:space="preserve">Josef </w:t>
      </w:r>
      <w:r w:rsidR="00A82C5B">
        <w:rPr>
          <w:b/>
          <w:color w:val="222222"/>
          <w:sz w:val="24"/>
          <w:szCs w:val="24"/>
        </w:rPr>
        <w:t>Patočka z iniciativy Limity js</w:t>
      </w:r>
      <w:r>
        <w:rPr>
          <w:b/>
          <w:color w:val="222222"/>
          <w:sz w:val="24"/>
          <w:szCs w:val="24"/>
        </w:rPr>
        <w:t>m</w:t>
      </w:r>
      <w:r w:rsidR="00A82C5B">
        <w:rPr>
          <w:b/>
          <w:color w:val="222222"/>
          <w:sz w:val="24"/>
          <w:szCs w:val="24"/>
        </w:rPr>
        <w:t>e</w:t>
      </w:r>
      <w:r>
        <w:rPr>
          <w:b/>
          <w:color w:val="222222"/>
          <w:sz w:val="24"/>
          <w:szCs w:val="24"/>
        </w:rPr>
        <w:t xml:space="preserve"> my,</w:t>
      </w:r>
      <w:r>
        <w:rPr>
          <w:color w:val="222222"/>
          <w:sz w:val="24"/>
          <w:szCs w:val="24"/>
        </w:rPr>
        <w:t xml:space="preserve"> řekl:</w:t>
      </w:r>
    </w:p>
    <w:p w:rsidR="004D7F7C" w:rsidRDefault="004120B8">
      <w:pPr>
        <w:spacing w:line="240" w:lineRule="auto"/>
      </w:pPr>
      <w:r>
        <w:rPr>
          <w:i/>
          <w:color w:val="222222"/>
          <w:sz w:val="24"/>
          <w:szCs w:val="24"/>
        </w:rPr>
        <w:t>"Ministr Mládek by měl hodit ručník do ringu a postavit se za zachování limitů těžby ve stávající podobě, včetně Bíliny. Ochranu si zaslouží nejen domovy lidí v Horním Jiřetíně a Černicích, ale i plíce a uši obyvatel Mariánských Radčic, ohrožené klima a krajina."</w:t>
      </w:r>
    </w:p>
    <w:p w:rsidR="004D7F7C" w:rsidRDefault="004D7F7C">
      <w:pPr>
        <w:spacing w:line="240" w:lineRule="auto"/>
      </w:pP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b/>
          <w:color w:val="222222"/>
          <w:sz w:val="24"/>
          <w:szCs w:val="24"/>
        </w:rPr>
        <w:t>Kontakty: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b/>
          <w:sz w:val="24"/>
          <w:szCs w:val="24"/>
        </w:rPr>
        <w:t>Jan Rovenský</w:t>
      </w:r>
      <w:r>
        <w:rPr>
          <w:sz w:val="24"/>
          <w:szCs w:val="24"/>
        </w:rPr>
        <w:t xml:space="preserve">, Greenpeace ČR, 734 620 844, </w:t>
      </w:r>
      <w:hyperlink r:id="rId10">
        <w:r>
          <w:rPr>
            <w:color w:val="0000FF"/>
            <w:sz w:val="24"/>
            <w:szCs w:val="24"/>
            <w:u w:val="single"/>
          </w:rPr>
          <w:t>jan.rovensky@greenpeace.org</w:t>
        </w:r>
      </w:hyperlink>
      <w:hyperlink r:id="rId11"/>
    </w:p>
    <w:p w:rsidR="004D7F7C" w:rsidRDefault="004120B8">
      <w:pPr>
        <w:spacing w:line="240" w:lineRule="auto"/>
      </w:pPr>
      <w:r>
        <w:rPr>
          <w:b/>
          <w:sz w:val="24"/>
          <w:szCs w:val="24"/>
        </w:rPr>
        <w:t xml:space="preserve">Jiří </w:t>
      </w:r>
      <w:proofErr w:type="spellStart"/>
      <w:r>
        <w:rPr>
          <w:b/>
          <w:sz w:val="24"/>
          <w:szCs w:val="24"/>
        </w:rPr>
        <w:t>Koželouh</w:t>
      </w:r>
      <w:proofErr w:type="spellEnd"/>
      <w:r>
        <w:rPr>
          <w:sz w:val="24"/>
          <w:szCs w:val="24"/>
        </w:rPr>
        <w:t>, Hnutí DUHA, 723 559 495</w:t>
      </w:r>
      <w:r>
        <w:rPr>
          <w:color w:val="222222"/>
          <w:sz w:val="19"/>
          <w:szCs w:val="19"/>
          <w:highlight w:val="white"/>
        </w:rPr>
        <w:t>,</w:t>
      </w:r>
      <w:r>
        <w:rPr>
          <w:sz w:val="24"/>
          <w:szCs w:val="24"/>
        </w:rPr>
        <w:t xml:space="preserve"> </w:t>
      </w:r>
      <w:hyperlink r:id="rId12">
        <w:r>
          <w:rPr>
            <w:color w:val="1155CC"/>
            <w:sz w:val="24"/>
            <w:szCs w:val="24"/>
            <w:u w:val="single"/>
          </w:rPr>
          <w:t>jiri.kozelouh@hnutiduha.cz</w:t>
        </w:r>
      </w:hyperlink>
    </w:p>
    <w:p w:rsidR="004D7F7C" w:rsidRDefault="004120B8">
      <w:pPr>
        <w:spacing w:line="240" w:lineRule="auto"/>
      </w:pPr>
      <w:r>
        <w:rPr>
          <w:b/>
          <w:sz w:val="24"/>
          <w:szCs w:val="24"/>
        </w:rPr>
        <w:t>Josef Patočka</w:t>
      </w:r>
      <w:r>
        <w:rPr>
          <w:sz w:val="24"/>
          <w:szCs w:val="24"/>
        </w:rPr>
        <w:t xml:space="preserve">, </w:t>
      </w:r>
      <w:r w:rsidR="00A82C5B">
        <w:rPr>
          <w:sz w:val="24"/>
          <w:szCs w:val="24"/>
        </w:rPr>
        <w:t>i</w:t>
      </w:r>
      <w:r>
        <w:rPr>
          <w:sz w:val="24"/>
          <w:szCs w:val="24"/>
        </w:rPr>
        <w:t xml:space="preserve">niciativa Limity jsme my, 731 445 153, </w:t>
      </w:r>
      <w:hyperlink r:id="rId13">
        <w:r>
          <w:rPr>
            <w:color w:val="1155CC"/>
            <w:sz w:val="24"/>
            <w:szCs w:val="24"/>
            <w:u w:val="single"/>
          </w:rPr>
          <w:t>patocka.josef@gmail.com</w:t>
        </w:r>
      </w:hyperlink>
    </w:p>
    <w:p w:rsidR="004D7F7C" w:rsidRDefault="004120B8">
      <w:pPr>
        <w:spacing w:line="240" w:lineRule="auto"/>
      </w:pPr>
      <w:r>
        <w:rPr>
          <w:b/>
          <w:sz w:val="24"/>
          <w:szCs w:val="24"/>
          <w:highlight w:val="white"/>
        </w:rPr>
        <w:t>Daniel Vondrouš</w:t>
      </w:r>
      <w:r>
        <w:rPr>
          <w:sz w:val="24"/>
          <w:szCs w:val="24"/>
          <w:highlight w:val="white"/>
        </w:rPr>
        <w:t xml:space="preserve">, Zelený kruh, 724 215 068, </w:t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daniel.vondrous@zelenykruh.cz</w:t>
        </w:r>
      </w:hyperlink>
    </w:p>
    <w:p w:rsidR="004D7F7C" w:rsidRDefault="004120B8">
      <w:pPr>
        <w:spacing w:line="240" w:lineRule="auto"/>
      </w:pPr>
      <w:r>
        <w:rPr>
          <w:b/>
          <w:sz w:val="24"/>
          <w:szCs w:val="24"/>
          <w:highlight w:val="white"/>
        </w:rPr>
        <w:t xml:space="preserve">Edvard </w:t>
      </w:r>
      <w:proofErr w:type="spellStart"/>
      <w:r>
        <w:rPr>
          <w:b/>
          <w:sz w:val="24"/>
          <w:szCs w:val="24"/>
          <w:highlight w:val="white"/>
        </w:rPr>
        <w:t>Sequens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Calla</w:t>
      </w:r>
      <w:proofErr w:type="spellEnd"/>
      <w:r>
        <w:rPr>
          <w:sz w:val="24"/>
          <w:szCs w:val="24"/>
          <w:highlight w:val="white"/>
        </w:rPr>
        <w:t>, 602 282 399</w:t>
      </w:r>
      <w:r>
        <w:rPr>
          <w:sz w:val="24"/>
          <w:szCs w:val="24"/>
        </w:rPr>
        <w:br/>
      </w:r>
    </w:p>
    <w:p w:rsidR="004D7F7C" w:rsidRDefault="004120B8">
      <w:pPr>
        <w:spacing w:line="240" w:lineRule="auto"/>
      </w:pPr>
      <w:r>
        <w:rPr>
          <w:b/>
          <w:sz w:val="24"/>
          <w:szCs w:val="24"/>
        </w:rPr>
        <w:t>Poznámky pro editory:</w:t>
      </w:r>
    </w:p>
    <w:p w:rsidR="004D7F7C" w:rsidRDefault="004D7F7C">
      <w:pPr>
        <w:spacing w:line="240" w:lineRule="auto"/>
      </w:pP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 xml:space="preserve">[1] Viz studii Centra pro otázky životního prostředí UK </w:t>
      </w:r>
      <w:r>
        <w:rPr>
          <w:i/>
          <w:color w:val="222222"/>
          <w:sz w:val="20"/>
          <w:szCs w:val="20"/>
        </w:rPr>
        <w:t>“Kvantifikace environmentálních a zdravotních dopadů (externích nákladů) z povrchové těžby hnědého uhlí v Severočeské hnědouhelné pánvi v těžebních lokalitách velkolomů Bílina a ČSA a využití vydobytého hnědého uhlí ve spalovacích procesech pro výrobu elektřiny a tepla na území ČR” (</w:t>
      </w:r>
      <w:hyperlink r:id="rId15">
        <w:r>
          <w:rPr>
            <w:color w:val="1155CC"/>
            <w:sz w:val="20"/>
            <w:szCs w:val="20"/>
            <w:highlight w:val="white"/>
            <w:u w:val="single"/>
          </w:rPr>
          <w:t>http://www.mpo.cz/dokument161524.html)</w:t>
        </w:r>
      </w:hyperlink>
      <w:hyperlink r:id="rId16"/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>[2] Celkové ministerstvem průmyslu uznávané externí náklady těžby vědci z Univerzit</w:t>
      </w:r>
      <w:r w:rsidR="00BA36DF">
        <w:rPr>
          <w:color w:val="222222"/>
          <w:sz w:val="20"/>
          <w:szCs w:val="20"/>
        </w:rPr>
        <w:t>y</w:t>
      </w:r>
      <w:r>
        <w:rPr>
          <w:color w:val="222222"/>
          <w:sz w:val="20"/>
          <w:szCs w:val="20"/>
        </w:rPr>
        <w:t xml:space="preserve"> Karlovy spočítali na 14 miliard pro variantu 1 (zachování limitů), 24 miliard pro variantu 2 (p</w:t>
      </w:r>
      <w:r w:rsidR="00A82C5B">
        <w:rPr>
          <w:color w:val="222222"/>
          <w:sz w:val="20"/>
          <w:szCs w:val="20"/>
        </w:rPr>
        <w:t>r</w:t>
      </w:r>
      <w:r>
        <w:rPr>
          <w:color w:val="222222"/>
          <w:sz w:val="20"/>
          <w:szCs w:val="20"/>
        </w:rPr>
        <w:t>olomení limitů pouze na dole Bílina) a na 34 miliard pro variantu 4 (prolomení limitů na dolech Bílina i ČSA). Rozdíl mezi zachováním a plným prolomením limitů tedy činí 25 miliard Kč.</w:t>
      </w: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 xml:space="preserve">[3] Viz závěry studie konzultační společnosti </w:t>
      </w:r>
      <w:proofErr w:type="spellStart"/>
      <w:r>
        <w:rPr>
          <w:color w:val="222222"/>
          <w:sz w:val="20"/>
          <w:szCs w:val="20"/>
        </w:rPr>
        <w:t>PricewaterhoueCoopers</w:t>
      </w:r>
      <w:proofErr w:type="spellEnd"/>
      <w:r>
        <w:rPr>
          <w:color w:val="222222"/>
          <w:sz w:val="20"/>
          <w:szCs w:val="20"/>
        </w:rPr>
        <w:t xml:space="preserve"> pro MPO </w:t>
      </w:r>
      <w:r>
        <w:rPr>
          <w:i/>
          <w:color w:val="222222"/>
          <w:sz w:val="20"/>
          <w:szCs w:val="20"/>
        </w:rPr>
        <w:t xml:space="preserve">“Posouzení ekonomických dopadů z pohledu zvažovaných variant prolomení limitu těžby uhlí na území severních Čech” </w:t>
      </w:r>
      <w:r>
        <w:rPr>
          <w:color w:val="222222"/>
          <w:sz w:val="20"/>
          <w:szCs w:val="20"/>
        </w:rPr>
        <w:t>(</w:t>
      </w:r>
      <w:hyperlink r:id="rId17">
        <w:r>
          <w:rPr>
            <w:color w:val="1155CC"/>
            <w:sz w:val="20"/>
            <w:szCs w:val="20"/>
            <w:u w:val="single"/>
          </w:rPr>
          <w:t>http://download.mpo.cz/get/53118/60568/634489/priloha004.pdf</w:t>
        </w:r>
      </w:hyperlink>
      <w:r>
        <w:rPr>
          <w:color w:val="222222"/>
          <w:sz w:val="20"/>
          <w:szCs w:val="20"/>
        </w:rPr>
        <w:t xml:space="preserve">)  </w:t>
      </w: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>[4] Jen v letech 2009</w:t>
      </w:r>
      <w:r w:rsidR="00BA36DF">
        <w:rPr>
          <w:color w:val="222222"/>
          <w:sz w:val="20"/>
          <w:szCs w:val="20"/>
        </w:rPr>
        <w:t xml:space="preserve"> až </w:t>
      </w:r>
      <w:r>
        <w:rPr>
          <w:color w:val="222222"/>
          <w:sz w:val="20"/>
          <w:szCs w:val="20"/>
        </w:rPr>
        <w:t xml:space="preserve">2012 vynesla “hochům z Motoinvestu” Tykačovi, </w:t>
      </w:r>
      <w:proofErr w:type="spellStart"/>
      <w:r>
        <w:rPr>
          <w:color w:val="222222"/>
          <w:sz w:val="20"/>
          <w:szCs w:val="20"/>
        </w:rPr>
        <w:t>Dienstlovi</w:t>
      </w:r>
      <w:proofErr w:type="spellEnd"/>
      <w:r>
        <w:rPr>
          <w:color w:val="222222"/>
          <w:sz w:val="20"/>
          <w:szCs w:val="20"/>
        </w:rPr>
        <w:t xml:space="preserve"> a </w:t>
      </w:r>
      <w:proofErr w:type="spellStart"/>
      <w:r>
        <w:rPr>
          <w:color w:val="222222"/>
          <w:sz w:val="20"/>
          <w:szCs w:val="20"/>
        </w:rPr>
        <w:t>Fohlerovi</w:t>
      </w:r>
      <w:proofErr w:type="spellEnd"/>
      <w:r>
        <w:rPr>
          <w:color w:val="222222"/>
          <w:sz w:val="20"/>
          <w:szCs w:val="20"/>
        </w:rPr>
        <w:t xml:space="preserve"> těžbě a prodej státního uhlí 17 miliard korun na dividendách. Současná tržní cena za limity na velkolomech ČSA a Bílina dosahuje 800 miliard korun.</w:t>
      </w: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>[5] Většina tzv. tříděného uhlí spalovaného v lokálních topeništích přitom pochází právě z velkolomů ČSA a Bílina.</w:t>
      </w: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>[6] Viz pramen uvedený v poznámce č.[1], tabulka č. 2, str. 7.</w:t>
      </w:r>
    </w:p>
    <w:p w:rsidR="004D7F7C" w:rsidRDefault="004120B8">
      <w:pPr>
        <w:spacing w:line="240" w:lineRule="auto"/>
      </w:pPr>
      <w:r>
        <w:rPr>
          <w:color w:val="222222"/>
          <w:sz w:val="20"/>
          <w:szCs w:val="20"/>
        </w:rPr>
        <w:t xml:space="preserve">[7] Stanovisko Zeleného kruhu zde: </w:t>
      </w:r>
      <w:hyperlink r:id="rId18">
        <w:r>
          <w:rPr>
            <w:color w:val="1155CC"/>
            <w:sz w:val="20"/>
            <w:szCs w:val="20"/>
            <w:u w:val="single"/>
          </w:rPr>
          <w:t>http://www.zelenykruh.cz/na-cem-pracujeme/limity-tezby</w:t>
        </w:r>
      </w:hyperlink>
    </w:p>
    <w:p w:rsidR="004D7F7C" w:rsidRDefault="008D1F96">
      <w:pPr>
        <w:spacing w:line="240" w:lineRule="auto"/>
      </w:pPr>
      <w:hyperlink r:id="rId19"/>
    </w:p>
    <w:p w:rsidR="004D7F7C" w:rsidRDefault="008D1F96">
      <w:pPr>
        <w:spacing w:line="240" w:lineRule="auto"/>
      </w:pPr>
      <w:hyperlink r:id="rId20"/>
    </w:p>
    <w:p w:rsidR="004D7F7C" w:rsidRDefault="008D1F96">
      <w:pPr>
        <w:spacing w:line="240" w:lineRule="auto"/>
        <w:jc w:val="center"/>
      </w:pPr>
      <w:hyperlink r:id="rId21"/>
    </w:p>
    <w:p w:rsidR="004D7F7C" w:rsidRDefault="008D1F96">
      <w:pPr>
        <w:spacing w:line="240" w:lineRule="auto"/>
        <w:jc w:val="center"/>
      </w:pPr>
      <w:hyperlink r:id="rId22"/>
    </w:p>
    <w:p w:rsidR="004D7F7C" w:rsidRDefault="004120B8">
      <w:pPr>
        <w:spacing w:line="240" w:lineRule="auto"/>
      </w:pPr>
      <w:hyperlink r:id="rId23"/>
    </w:p>
    <w:sectPr w:rsidR="004D7F7C">
      <w:pgSz w:w="11906" w:h="16838"/>
      <w:pgMar w:top="709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7F7C"/>
    <w:rsid w:val="004120B8"/>
    <w:rsid w:val="004D7F7C"/>
    <w:rsid w:val="008D1F96"/>
    <w:rsid w:val="00A82C5B"/>
    <w:rsid w:val="00B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atocka.josef@gmail.com" TargetMode="External"/><Relationship Id="rId18" Type="http://schemas.openxmlformats.org/officeDocument/2006/relationships/hyperlink" Target="http://www.zelenykruh.cz/na-cem-pracujeme/limity-tez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elenykruh.cz/na-cem-pracujeme/limity-tezby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jiri.kozelouh@hnutiduha.cz" TargetMode="External"/><Relationship Id="rId17" Type="http://schemas.openxmlformats.org/officeDocument/2006/relationships/hyperlink" Target="http://download.mpo.cz/get/53118/60568/634489/priloha004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po.cz/dokument161524.html" TargetMode="External"/><Relationship Id="rId20" Type="http://schemas.openxmlformats.org/officeDocument/2006/relationships/hyperlink" Target="http://www.zelenykruh.cz/na-cem-pracujeme/limity-tezb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jan.rovensky@greenpeace.or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mpo.cz/dokument161524.html" TargetMode="External"/><Relationship Id="rId23" Type="http://schemas.openxmlformats.org/officeDocument/2006/relationships/hyperlink" Target="http://www.zelenykruh.cz/na-cem-pracujeme/limity-tezby" TargetMode="External"/><Relationship Id="rId10" Type="http://schemas.openxmlformats.org/officeDocument/2006/relationships/hyperlink" Target="mailto:jan.rovensky@greenpeace.org" TargetMode="External"/><Relationship Id="rId19" Type="http://schemas.openxmlformats.org/officeDocument/2006/relationships/hyperlink" Target="http://www.zelenykruh.cz/na-cem-pracujeme/limity-tez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daniel.vondrous@zelenykruh.cz" TargetMode="External"/><Relationship Id="rId22" Type="http://schemas.openxmlformats.org/officeDocument/2006/relationships/hyperlink" Target="http://www.zelenykruh.cz/na-cem-pracujeme/limity-tez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Hrabek</dc:creator>
  <cp:lastModifiedBy>spravce</cp:lastModifiedBy>
  <cp:revision>3</cp:revision>
  <dcterms:created xsi:type="dcterms:W3CDTF">2015-09-02T07:45:00Z</dcterms:created>
  <dcterms:modified xsi:type="dcterms:W3CDTF">2015-09-02T07:53:00Z</dcterms:modified>
</cp:coreProperties>
</file>