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23547" w14:textId="4CC3FFAA" w:rsidR="009A35D1" w:rsidRPr="005B4CD5" w:rsidRDefault="009A35D1" w:rsidP="009A35D1">
      <w:pPr>
        <w:pStyle w:val="Bezmezer"/>
        <w:rPr>
          <w:b/>
        </w:rPr>
      </w:pPr>
      <w:r w:rsidRPr="005B4CD5">
        <w:rPr>
          <w:b/>
        </w:rPr>
        <w:t>Odborn</w:t>
      </w:r>
      <w:r w:rsidR="00625ED7">
        <w:rPr>
          <w:b/>
        </w:rPr>
        <w:t>é</w:t>
      </w:r>
      <w:r w:rsidRPr="005B4CD5">
        <w:rPr>
          <w:b/>
        </w:rPr>
        <w:t xml:space="preserve"> kontakt</w:t>
      </w:r>
      <w:r w:rsidR="00625ED7">
        <w:rPr>
          <w:b/>
        </w:rPr>
        <w:t>y</w:t>
      </w:r>
    </w:p>
    <w:p w14:paraId="5A32A1C9" w14:textId="427F582E" w:rsidR="00273095" w:rsidRPr="005B4CD5" w:rsidRDefault="000E4D85" w:rsidP="00027CF9">
      <w:pPr>
        <w:pStyle w:val="Bezmezer"/>
        <w:jc w:val="left"/>
      </w:pPr>
      <w:r w:rsidRPr="000E4D85">
        <w:rPr>
          <w:b/>
        </w:rPr>
        <w:t>Mgr</w:t>
      </w:r>
      <w:r w:rsidR="00273095" w:rsidRPr="000E4D85">
        <w:rPr>
          <w:b/>
        </w:rPr>
        <w:t xml:space="preserve">. </w:t>
      </w:r>
      <w:r w:rsidRPr="000E4D85">
        <w:rPr>
          <w:b/>
        </w:rPr>
        <w:t>Pavel Černohous</w:t>
      </w:r>
      <w:r w:rsidR="00273095" w:rsidRPr="005B4CD5">
        <w:t xml:space="preserve">, </w:t>
      </w:r>
      <w:r w:rsidR="00BB30DE">
        <w:t>advokát</w:t>
      </w:r>
      <w:r w:rsidR="00027CF9">
        <w:t>, Ateliér pro životní prostředí</w:t>
      </w:r>
      <w:r w:rsidR="00BB30DE">
        <w:t xml:space="preserve">, </w:t>
      </w:r>
      <w:r w:rsidR="00273095" w:rsidRPr="005B4CD5">
        <w:t xml:space="preserve">603 214 487, </w:t>
      </w:r>
      <w:hyperlink r:id="rId7" w:history="1">
        <w:r w:rsidRPr="001A6BD4">
          <w:rPr>
            <w:rStyle w:val="Hypertextovodkaz"/>
          </w:rPr>
          <w:t>pavel@cernohous.cz</w:t>
        </w:r>
      </w:hyperlink>
      <w:r>
        <w:t xml:space="preserve"> </w:t>
      </w:r>
    </w:p>
    <w:p w14:paraId="63757050" w14:textId="2A66B640" w:rsidR="000E4D85" w:rsidRDefault="000E4D85" w:rsidP="00027CF9">
      <w:pPr>
        <w:pStyle w:val="Bezmezer"/>
        <w:jc w:val="left"/>
        <w:rPr>
          <w:rStyle w:val="Hypertextovodkaz"/>
        </w:rPr>
      </w:pPr>
      <w:r>
        <w:rPr>
          <w:rStyle w:val="Siln"/>
        </w:rPr>
        <w:t xml:space="preserve">Mgr. </w:t>
      </w:r>
      <w:r w:rsidRPr="00992C89">
        <w:rPr>
          <w:rStyle w:val="Siln"/>
        </w:rPr>
        <w:t>Daniel Vondrouš</w:t>
      </w:r>
      <w:r w:rsidRPr="00992C89">
        <w:t>, expert na politiku životního prostředí</w:t>
      </w:r>
      <w:r w:rsidR="00027CF9">
        <w:t>, Zelený kruh</w:t>
      </w:r>
      <w:r>
        <w:t xml:space="preserve">, </w:t>
      </w:r>
      <w:r w:rsidRPr="00992C89">
        <w:t>724 215</w:t>
      </w:r>
      <w:r>
        <w:t> </w:t>
      </w:r>
      <w:r w:rsidRPr="00992C89">
        <w:t>068</w:t>
      </w:r>
      <w:r>
        <w:t xml:space="preserve">, </w:t>
      </w:r>
      <w:hyperlink r:id="rId8" w:history="1">
        <w:r w:rsidRPr="00992C89">
          <w:rPr>
            <w:rStyle w:val="Hypertextovodkaz"/>
          </w:rPr>
          <w:t>daniel.vondrous@zelenykruh.cz</w:t>
        </w:r>
      </w:hyperlink>
    </w:p>
    <w:p w14:paraId="0D16D2F6" w14:textId="02AC1CE2" w:rsidR="00784EC6" w:rsidRDefault="00641370" w:rsidP="00027CF9">
      <w:pPr>
        <w:jc w:val="left"/>
      </w:pPr>
      <w:r w:rsidRPr="00641370">
        <w:rPr>
          <w:b/>
        </w:rPr>
        <w:t xml:space="preserve">Mgr. </w:t>
      </w:r>
      <w:r w:rsidR="00784EC6">
        <w:rPr>
          <w:b/>
        </w:rPr>
        <w:t>Ondřej Šindelář</w:t>
      </w:r>
      <w:r w:rsidR="00784EC6">
        <w:t>, programový manažer</w:t>
      </w:r>
      <w:r w:rsidR="00027CF9">
        <w:t>, Nadace VIA</w:t>
      </w:r>
      <w:r>
        <w:t xml:space="preserve">, </w:t>
      </w:r>
      <w:r w:rsidR="00E643CC" w:rsidRPr="00E643CC">
        <w:t>731 873 272</w:t>
      </w:r>
      <w:r>
        <w:t xml:space="preserve">, </w:t>
      </w:r>
      <w:hyperlink r:id="rId9" w:history="1">
        <w:r w:rsidR="00784EC6" w:rsidRPr="007E22C3">
          <w:rPr>
            <w:rStyle w:val="Hypertextovodkaz"/>
          </w:rPr>
          <w:t>ondrej.sindelar.@nadacevia.cz</w:t>
        </w:r>
      </w:hyperlink>
    </w:p>
    <w:p w14:paraId="07488453" w14:textId="77777777" w:rsidR="00E643CC" w:rsidRDefault="00E643CC" w:rsidP="00027CF9">
      <w:pPr>
        <w:jc w:val="left"/>
      </w:pPr>
      <w:bookmarkStart w:id="0" w:name="_GoBack"/>
      <w:bookmarkEnd w:id="0"/>
    </w:p>
    <w:p w14:paraId="7FDAE6B2" w14:textId="77777777" w:rsidR="009A35D1" w:rsidRPr="005B4CD5" w:rsidRDefault="009A35D1" w:rsidP="009A35D1">
      <w:pPr>
        <w:pStyle w:val="Bezmezer"/>
        <w:rPr>
          <w:b/>
        </w:rPr>
      </w:pPr>
      <w:r w:rsidRPr="005B4CD5">
        <w:rPr>
          <w:b/>
        </w:rPr>
        <w:t xml:space="preserve">Kontakt pro novináře </w:t>
      </w:r>
    </w:p>
    <w:p w14:paraId="52A50BEB" w14:textId="1A4ACC95" w:rsidR="00550C02" w:rsidRDefault="009A35D1" w:rsidP="00250B17">
      <w:pPr>
        <w:pStyle w:val="Bezmezer"/>
      </w:pPr>
      <w:r w:rsidRPr="005B4CD5">
        <w:t xml:space="preserve">Jiří Kaňa, 607 800 915, </w:t>
      </w:r>
      <w:hyperlink r:id="rId10" w:history="1">
        <w:r w:rsidR="00784EC6" w:rsidRPr="007E22C3">
          <w:rPr>
            <w:rStyle w:val="Hypertextovodkaz"/>
          </w:rPr>
          <w:t xml:space="preserve">jiri.kana@zelenykruh.cz </w:t>
        </w:r>
      </w:hyperlink>
    </w:p>
    <w:p w14:paraId="546B4331" w14:textId="77777777" w:rsidR="00250B17" w:rsidRPr="00250B17" w:rsidRDefault="00250B17" w:rsidP="00250B17">
      <w:pPr>
        <w:pStyle w:val="Nadpis1"/>
      </w:pPr>
      <w:r w:rsidRPr="00250B17">
        <w:t>Novela stavebního zákona omezí práva občanů vyjádřit se ke stavbám v jejich okolí</w:t>
      </w:r>
    </w:p>
    <w:p w14:paraId="31FD8532" w14:textId="0A33E72D" w:rsidR="00250B17" w:rsidRPr="00250B17" w:rsidRDefault="00250B17" w:rsidP="00250B17">
      <w:pPr>
        <w:rPr>
          <w:rStyle w:val="Siln"/>
        </w:rPr>
      </w:pPr>
      <w:r w:rsidRPr="00250B17">
        <w:rPr>
          <w:rStyle w:val="Siln"/>
        </w:rPr>
        <w:t>Novela stavebního zákona, kterou vláda v nejbližší době dostane k projednání, podle ekologických organizací závažně zasahuje do práva veřejnosti vyjádřit se ke stavbám ve městech a okolí. Podle nich především brání všem kromě vlastníků nemovitostí napadat nezákonnost územních plánů, ruší povinné veřejné projednávání jak v rámci procesu EI</w:t>
      </w:r>
      <w:r w:rsidR="009E1010">
        <w:rPr>
          <w:rStyle w:val="Siln"/>
        </w:rPr>
        <w:t xml:space="preserve">A, tak i při povolování stavby. </w:t>
      </w:r>
      <w:r w:rsidR="009E1010" w:rsidRPr="009E1010">
        <w:rPr>
          <w:rStyle w:val="Siln"/>
        </w:rPr>
        <w:t>Mimo jiné má být veřejnost vyřazena i z rozhodování o kácení dřevin kvůli velkým stavbám.</w:t>
      </w:r>
    </w:p>
    <w:p w14:paraId="65EB9332" w14:textId="77777777" w:rsidR="00250B17" w:rsidRPr="00250B17" w:rsidRDefault="00250B17" w:rsidP="00250B17">
      <w:r w:rsidRPr="00250B17">
        <w:t>V Praze 13. října 2015</w:t>
      </w:r>
    </w:p>
    <w:p w14:paraId="197AE2AC" w14:textId="5578B14B" w:rsidR="00250B17" w:rsidRPr="00250B17" w:rsidRDefault="00250B17" w:rsidP="00250B17">
      <w:r w:rsidRPr="00250B17">
        <w:t>Připravovaná novela znemožní velkému množství lidí bránit se proti územním plánům, které mohou narušovat jejich životní prostředí. V současnosti může žalobu na zrušení územního plánu podat každý, jehož práva byla</w:t>
      </w:r>
      <w:r w:rsidR="002C1ADF">
        <w:t xml:space="preserve"> tímto plánem</w:t>
      </w:r>
      <w:r w:rsidRPr="00250B17">
        <w:t xml:space="preserve"> dotčena. Nová zákonná úprava tuto obranu nájemníkům či místních spolkům odebírá.</w:t>
      </w:r>
    </w:p>
    <w:p w14:paraId="1A569D7B" w14:textId="5EA4B071" w:rsidR="00250B17" w:rsidRPr="00250B17" w:rsidRDefault="00250B17" w:rsidP="00250B17">
      <w:r w:rsidRPr="00250B17">
        <w:rPr>
          <w:b/>
        </w:rPr>
        <w:t>Citace advokáta Pavla Černohouse z Ateliéru pro životní prostředí:</w:t>
      </w:r>
      <w:r w:rsidRPr="00250B17">
        <w:t xml:space="preserve"> </w:t>
      </w:r>
      <w:r w:rsidRPr="00250B17">
        <w:rPr>
          <w:i/>
        </w:rPr>
        <w:t>„Výstavba obchodních domů, rušných komunikací či jiných developerských projektů se může dotýkat tisíců nájemníků velkých sídlišť, nikoliv jen majitele nemovitostí. Připravovaná legislativa jim vezme možnost obrany proti stavbám ohrožující prostředí v místě, kde žijí.“</w:t>
      </w:r>
    </w:p>
    <w:p w14:paraId="07E4259E" w14:textId="77777777" w:rsidR="00250B17" w:rsidRPr="00250B17" w:rsidRDefault="00250B17" w:rsidP="00250B17">
      <w:r w:rsidRPr="00250B17">
        <w:t>Nová úprava stavebního zákona dále počítá se zrušením veřejného projednávání stavby v rámci procesu EIA, který hodnotí její vliv na životní prostředí. Projednání představuje pro veřejnost příležitost seznámit se stavebním záměrem a prodiskutovat plánovanou stavbu s developerem způsobem, který písemná komunikace nemůže plně nahradit.</w:t>
      </w:r>
    </w:p>
    <w:p w14:paraId="5683DF23" w14:textId="77777777" w:rsidR="00250B17" w:rsidRPr="00250B17" w:rsidRDefault="00250B17" w:rsidP="00250B17">
      <w:r w:rsidRPr="00250B17">
        <w:rPr>
          <w:b/>
        </w:rPr>
        <w:t>Citace legislativního experta Daniela Vondrouše z asociace ekologických organizací Zelený kruh:</w:t>
      </w:r>
      <w:r w:rsidRPr="00250B17">
        <w:rPr>
          <w:i/>
        </w:rPr>
        <w:t xml:space="preserve"> „Zrušení veřejných projednání dopadů spaloven či hypermarketů na okolí povede ke zbytečné nedůvěře a konfliktu s místními lidmi. V mnoha obcích u nás se přitom běžně praktikuje ještě otevřenější rozhodování o veřejném prostoru.“</w:t>
      </w:r>
    </w:p>
    <w:p w14:paraId="1C141929" w14:textId="77777777" w:rsidR="00250B17" w:rsidRPr="00250B17" w:rsidRDefault="00250B17" w:rsidP="00250B17">
      <w:r w:rsidRPr="00250B17">
        <w:t xml:space="preserve">Právo veřejnosti účastnit se při rozhodování o podobě okolí, ve kterém žije, bude také omezeno při kácení dřevin pro účely stavby. Orgány ochrany životního prostředí (většinou se jedná o obce a obecní úřady) povolují kácení dřevin ve správním řízení, kterého se veřejnost může zúčastnit. Orgány mají nově vydávat </w:t>
      </w:r>
      <w:r w:rsidRPr="00250B17">
        <w:lastRenderedPageBreak/>
        <w:t>pouze závazné stanovisko, k jehož vydání se veřejnost nemůže nijak vyjádřit. Budou-li chtít uplatnit sebemenší připomínku např. k rozsahu a umístění náhradní výsadby, budou se muset přihlásit do územního či koordinovaného řízení a odvolat se proti jeho výsledku. Teprve v odvolacím řízení by bylo možné úpravu podmínek kácení provést a celé řízení následně zopakovat. Tato změna zákona by tedy často vedla ke zbytečnému zdržení rozhodování o mnoho měsíců. Právě kácení stromů v sousedství je přitom jedním z nejčastějších důvodů, proč se lidé do správních řízení hlásí.</w:t>
      </w:r>
    </w:p>
    <w:p w14:paraId="4A15EC65" w14:textId="77777777" w:rsidR="00250B17" w:rsidRDefault="00250B17" w:rsidP="00250B17">
      <w:r w:rsidRPr="00250B17">
        <w:t xml:space="preserve">Zelený kruh a Nadace VIA v souvislosti s novelou připravili výzvu k zavedení spravedlivých, rychlejších, lepších a jednodušších pravidel pro rozhodování o stavbách i kvalitnějšího a rychlejšího rozhodování úřadů i správních soudů. Organizace i jednotlivci mohou výzvu svým podpisem podpořit na stránkách </w:t>
      </w:r>
      <w:hyperlink r:id="rId11" w:history="1">
        <w:r w:rsidRPr="00250B17">
          <w:rPr>
            <w:rStyle w:val="Hypertextovodkaz"/>
          </w:rPr>
          <w:t>www.zelenykruh.cz</w:t>
        </w:r>
      </w:hyperlink>
      <w:r w:rsidRPr="00250B17">
        <w:t xml:space="preserve">. </w:t>
      </w:r>
    </w:p>
    <w:p w14:paraId="461AC8DD" w14:textId="77777777" w:rsidR="00250B17" w:rsidRPr="00250B17" w:rsidRDefault="00250B17" w:rsidP="00250B17">
      <w:r w:rsidRPr="00250B17">
        <w:t>Ministerstvo pro místní rozvoj nadále zpracovává téměř patnáct set zásadních připomínek k novele. Původně měla novela nabýt účinnosti už v červnu 2016, ministerstvo však navrhuje posunout účinnost na konec příštího roku nebo leden 2017.</w:t>
      </w:r>
    </w:p>
    <w:p w14:paraId="0F740FF6" w14:textId="77777777" w:rsidR="00250B17" w:rsidRPr="00E80538" w:rsidRDefault="00250B17" w:rsidP="000E4D85"/>
    <w:p w14:paraId="20C724D1" w14:textId="77777777" w:rsidR="00CE30A3" w:rsidRPr="00FC3A2E" w:rsidRDefault="00CE30A3" w:rsidP="00CE30A3">
      <w:pPr>
        <w:pStyle w:val="Bezmezer"/>
        <w:rPr>
          <w:rStyle w:val="Siln"/>
          <w:rFonts w:asciiTheme="minorHAnsi" w:hAnsiTheme="minorHAnsi"/>
        </w:rPr>
      </w:pPr>
      <w:r w:rsidRPr="00FC3A2E">
        <w:rPr>
          <w:rStyle w:val="Siln"/>
          <w:rFonts w:asciiTheme="minorHAnsi" w:hAnsiTheme="minorHAnsi"/>
        </w:rPr>
        <w:t>Informace pro média</w:t>
      </w:r>
    </w:p>
    <w:p w14:paraId="0319F622" w14:textId="33FC1E93" w:rsidR="00486A80" w:rsidRDefault="00486A80" w:rsidP="00486A80">
      <w:pPr>
        <w:pStyle w:val="Default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Zelený kruh </w:t>
      </w:r>
      <w:r>
        <w:rPr>
          <w:i/>
          <w:iCs/>
          <w:sz w:val="20"/>
          <w:szCs w:val="20"/>
        </w:rPr>
        <w:t xml:space="preserve">hájí společné zájmy svých členů a podporuje celkový rozvoj občanské společnosti v oblasti ochrany přírody a životního prostředí. Problematikou účasti veřejnosti na rozhodování o záměrech a projektech s dopadem na životní prostředí se zabývá dlouhodobě a prostřednictvím své </w:t>
      </w:r>
      <w:proofErr w:type="spellStart"/>
      <w:r>
        <w:rPr>
          <w:i/>
          <w:iCs/>
          <w:sz w:val="20"/>
          <w:szCs w:val="20"/>
        </w:rPr>
        <w:t>advokační</w:t>
      </w:r>
      <w:proofErr w:type="spellEnd"/>
      <w:r>
        <w:rPr>
          <w:i/>
          <w:iCs/>
          <w:sz w:val="20"/>
          <w:szCs w:val="20"/>
        </w:rPr>
        <w:t xml:space="preserve"> činnosti se zasazuje o co největší zkvalitnění české legislativy. </w:t>
      </w:r>
      <w:hyperlink r:id="rId12" w:history="1">
        <w:r w:rsidRPr="001A6BD4">
          <w:rPr>
            <w:rStyle w:val="Hypertextovodkaz"/>
            <w:b/>
            <w:bCs/>
            <w:i/>
            <w:iCs/>
            <w:sz w:val="20"/>
            <w:szCs w:val="20"/>
          </w:rPr>
          <w:t>www.zelenykruh.cz</w:t>
        </w:r>
      </w:hyperlink>
      <w:r>
        <w:rPr>
          <w:b/>
          <w:bCs/>
          <w:i/>
          <w:iCs/>
          <w:sz w:val="20"/>
          <w:szCs w:val="20"/>
        </w:rPr>
        <w:t xml:space="preserve">  </w:t>
      </w:r>
    </w:p>
    <w:p w14:paraId="67B075CD" w14:textId="77777777" w:rsidR="00486A80" w:rsidRDefault="00486A80" w:rsidP="00486A80">
      <w:pPr>
        <w:pStyle w:val="Default"/>
        <w:jc w:val="both"/>
        <w:rPr>
          <w:sz w:val="20"/>
          <w:szCs w:val="20"/>
        </w:rPr>
      </w:pPr>
    </w:p>
    <w:p w14:paraId="6E36E46A" w14:textId="6C5EBC9E" w:rsidR="00A81336" w:rsidRDefault="00486A80" w:rsidP="00486A80">
      <w:r>
        <w:rPr>
          <w:b/>
          <w:bCs/>
          <w:i/>
          <w:iCs/>
          <w:sz w:val="20"/>
          <w:szCs w:val="20"/>
        </w:rPr>
        <w:t xml:space="preserve">Nadace VIA </w:t>
      </w:r>
      <w:r>
        <w:rPr>
          <w:i/>
          <w:iCs/>
          <w:sz w:val="20"/>
          <w:szCs w:val="20"/>
        </w:rPr>
        <w:t xml:space="preserve">patří mezi největší a nejaktivnější české nadace. Je největším soukromým podporovatelem komunitního rozvoje v České republice. Podporuje aktivity, které jsou postaveny na zájmu a zapojení neziskových organizací, obyvatel i místních samospráv. Aktivity, v nichž lidé přijímají odpovědnost za prostředí, v němž žijí. Proto jí záleží na dobré legislativě, která zapojení lidí umožní. </w:t>
      </w:r>
      <w:hyperlink r:id="rId13" w:history="1">
        <w:r w:rsidRPr="001A6BD4">
          <w:rPr>
            <w:rStyle w:val="Hypertextovodkaz"/>
            <w:b/>
            <w:bCs/>
            <w:i/>
            <w:iCs/>
            <w:sz w:val="20"/>
            <w:szCs w:val="20"/>
          </w:rPr>
          <w:t>www.nadacevia.cz</w:t>
        </w:r>
      </w:hyperlink>
      <w:r>
        <w:rPr>
          <w:b/>
          <w:bCs/>
          <w:i/>
          <w:iCs/>
          <w:sz w:val="20"/>
          <w:szCs w:val="20"/>
        </w:rPr>
        <w:t xml:space="preserve"> </w:t>
      </w:r>
    </w:p>
    <w:p w14:paraId="6A2DAFF0" w14:textId="77777777" w:rsidR="00486A80" w:rsidRDefault="00486A80" w:rsidP="009A35D1"/>
    <w:p w14:paraId="75C36F6A" w14:textId="77777777" w:rsidR="00486A80" w:rsidRPr="005B4CD5" w:rsidRDefault="00486A80" w:rsidP="009A35D1"/>
    <w:p w14:paraId="661B7E6A" w14:textId="77777777" w:rsidR="00A81336" w:rsidRPr="00E07AE8" w:rsidRDefault="00A81336" w:rsidP="00A81336">
      <w:pPr>
        <w:pStyle w:val="Zpat"/>
        <w:rPr>
          <w:sz w:val="16"/>
          <w:szCs w:val="16"/>
        </w:rPr>
      </w:pPr>
      <w:r w:rsidRPr="00E07AE8">
        <w:rPr>
          <w:rFonts w:ascii="Source Sans Pro" w:hAnsi="Source Sans Pro"/>
          <w:noProof/>
          <w:sz w:val="16"/>
          <w:szCs w:val="16"/>
          <w:lang w:eastAsia="cs-CZ"/>
        </w:rPr>
        <w:drawing>
          <wp:inline distT="0" distB="0" distL="0" distR="0" wp14:anchorId="5421A485" wp14:editId="29B1557D">
            <wp:extent cx="4128341" cy="420370"/>
            <wp:effectExtent l="0" t="0" r="5715" b="0"/>
            <wp:docPr id="22" name="Obrázek 22" descr="loga-fondnno-nros-partnestvi-eeagrants-velka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a-fondnno-nros-partnestvi-eeagrants-velka-rgb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188" cy="43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A11">
        <w:rPr>
          <w:noProof/>
          <w:lang w:eastAsia="cs-CZ"/>
        </w:rPr>
        <w:t xml:space="preserve"> </w:t>
      </w:r>
      <w:r>
        <w:rPr>
          <w:noProof/>
          <w:lang w:eastAsia="cs-CZ"/>
        </w:rPr>
        <w:t xml:space="preserve">              </w:t>
      </w:r>
    </w:p>
    <w:p w14:paraId="47CDA7BC" w14:textId="77777777" w:rsidR="00A81336" w:rsidRPr="00486A80" w:rsidRDefault="00A81336" w:rsidP="00A81336">
      <w:pPr>
        <w:pStyle w:val="Zpat"/>
        <w:rPr>
          <w:sz w:val="16"/>
          <w:szCs w:val="16"/>
        </w:rPr>
      </w:pPr>
      <w:r w:rsidRPr="00486A80">
        <w:rPr>
          <w:sz w:val="16"/>
          <w:szCs w:val="16"/>
        </w:rPr>
        <w:t xml:space="preserve">Podpořeno grantem z Islandu, Lichtenštejnska a Norska v rámci EHP fondů. </w:t>
      </w:r>
    </w:p>
    <w:p w14:paraId="37A8C179" w14:textId="77777777" w:rsidR="00A81336" w:rsidRPr="00486A80" w:rsidRDefault="00E643CC" w:rsidP="00A81336">
      <w:pPr>
        <w:pStyle w:val="Zpat"/>
        <w:rPr>
          <w:sz w:val="16"/>
          <w:szCs w:val="16"/>
        </w:rPr>
      </w:pPr>
      <w:hyperlink r:id="rId15" w:history="1">
        <w:r w:rsidR="00A81336" w:rsidRPr="00486A80">
          <w:rPr>
            <w:rStyle w:val="Hypertextovodkaz"/>
            <w:sz w:val="16"/>
            <w:szCs w:val="16"/>
          </w:rPr>
          <w:t>www.fondnno.cz</w:t>
        </w:r>
      </w:hyperlink>
      <w:r w:rsidR="00A81336" w:rsidRPr="00486A80">
        <w:rPr>
          <w:sz w:val="16"/>
          <w:szCs w:val="16"/>
        </w:rPr>
        <w:t xml:space="preserve"> a </w:t>
      </w:r>
      <w:hyperlink r:id="rId16" w:history="1">
        <w:r w:rsidR="00A81336" w:rsidRPr="00486A80">
          <w:rPr>
            <w:rStyle w:val="Hypertextovodkaz"/>
            <w:sz w:val="16"/>
            <w:szCs w:val="16"/>
          </w:rPr>
          <w:t>www.eeagrants.cz</w:t>
        </w:r>
      </w:hyperlink>
      <w:r w:rsidR="00A81336" w:rsidRPr="00486A80">
        <w:rPr>
          <w:sz w:val="16"/>
          <w:szCs w:val="16"/>
        </w:rPr>
        <w:t xml:space="preserve"> </w:t>
      </w:r>
    </w:p>
    <w:p w14:paraId="60130131" w14:textId="77777777" w:rsidR="009A35D1" w:rsidRPr="008513E7" w:rsidRDefault="009A35D1" w:rsidP="00A81336">
      <w:pPr>
        <w:rPr>
          <w:sz w:val="20"/>
          <w:szCs w:val="20"/>
        </w:rPr>
      </w:pPr>
    </w:p>
    <w:sectPr w:rsidR="009A35D1" w:rsidRPr="008513E7" w:rsidSect="00A57762">
      <w:headerReference w:type="default" r:id="rId17"/>
      <w:footerReference w:type="default" r:id="rId18"/>
      <w:pgSz w:w="11906" w:h="16838" w:code="9"/>
      <w:pgMar w:top="1843" w:right="1077" w:bottom="1843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DFDE5" w14:textId="77777777" w:rsidR="008F5EE6" w:rsidRDefault="008F5EE6" w:rsidP="00EB0AC1">
      <w:pPr>
        <w:spacing w:after="0" w:line="240" w:lineRule="auto"/>
      </w:pPr>
      <w:r>
        <w:separator/>
      </w:r>
    </w:p>
  </w:endnote>
  <w:endnote w:type="continuationSeparator" w:id="0">
    <w:p w14:paraId="54FA17E5" w14:textId="77777777" w:rsidR="008F5EE6" w:rsidRDefault="008F5EE6" w:rsidP="00EB0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524F4" w14:textId="77777777" w:rsidR="00605F7E" w:rsidRPr="00E07AE8" w:rsidRDefault="00E643CC" w:rsidP="006E6A20">
    <w:pPr>
      <w:pStyle w:val="Zpa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pict w14:anchorId="3432FF8A">
        <v:rect id="_x0000_i1025" style="width:487.6pt;height:1pt;mso-position-horizontal:absolute" o:hralign="center" o:hrstd="t" o:hrnoshade="t" o:hr="t" fillcolor="#6f9d21" stroked="f"/>
      </w:pict>
    </w:r>
  </w:p>
  <w:p w14:paraId="367760BC" w14:textId="77777777" w:rsidR="00605F7E" w:rsidRDefault="00605F7E" w:rsidP="00EC770E">
    <w:pPr>
      <w:spacing w:line="240" w:lineRule="auto"/>
      <w:contextualSpacing/>
    </w:pPr>
  </w:p>
  <w:p w14:paraId="1CC6D9B3" w14:textId="77777777" w:rsidR="00605F7E" w:rsidRPr="00EC770E" w:rsidRDefault="00605F7E" w:rsidP="00EC770E">
    <w:pPr>
      <w:spacing w:line="240" w:lineRule="auto"/>
      <w:contextualSpacing/>
      <w:rPr>
        <w:color w:val="6F9D21"/>
      </w:rPr>
    </w:pPr>
    <w:r w:rsidRPr="00EC770E">
      <w:rPr>
        <w:color w:val="6F9D21"/>
      </w:rPr>
      <w:t xml:space="preserve">ZELENÝ KRUH </w:t>
    </w:r>
    <w:r w:rsidRPr="00EC770E">
      <w:rPr>
        <w:rFonts w:ascii="Wingdings" w:hAnsi="Wingdings"/>
        <w:color w:val="6F9D21"/>
        <w:sz w:val="16"/>
      </w:rPr>
      <w:sym w:font="Wingdings" w:char="F06C"/>
    </w:r>
    <w:r w:rsidRPr="00EC770E">
      <w:rPr>
        <w:color w:val="6F9D21"/>
      </w:rPr>
      <w:t xml:space="preserve"> Asociace ekologických organizací</w:t>
    </w:r>
  </w:p>
  <w:p w14:paraId="139A73DC" w14:textId="77777777" w:rsidR="00605F7E" w:rsidRPr="00DE5D3B" w:rsidRDefault="00605F7E" w:rsidP="00EC770E">
    <w:pPr>
      <w:spacing w:line="240" w:lineRule="auto"/>
      <w:contextualSpacing/>
      <w:rPr>
        <w:color w:val="6F9D21"/>
        <w:sz w:val="20"/>
      </w:rPr>
    </w:pPr>
    <w:r w:rsidRPr="00EC770E">
      <w:rPr>
        <w:color w:val="6F9D21"/>
        <w:sz w:val="20"/>
      </w:rPr>
      <w:t xml:space="preserve">Lublaňská 18, 120 00 Praha 2, (+420) 222 517 143 </w:t>
    </w:r>
    <w:r w:rsidRPr="00EC770E">
      <w:rPr>
        <w:rFonts w:ascii="Wingdings" w:hAnsi="Wingdings"/>
        <w:color w:val="6F9D21"/>
        <w:sz w:val="14"/>
      </w:rPr>
      <w:sym w:font="Wingdings" w:char="F06C"/>
    </w:r>
    <w:r w:rsidRPr="00EC770E">
      <w:rPr>
        <w:color w:val="6F9D21"/>
        <w:sz w:val="20"/>
      </w:rPr>
      <w:t xml:space="preserve"> </w:t>
    </w:r>
    <w:hyperlink r:id="rId1" w:history="1">
      <w:r w:rsidRPr="00EC770E">
        <w:rPr>
          <w:rStyle w:val="Hypertextovodkaz"/>
          <w:color w:val="6F9D21"/>
          <w:sz w:val="20"/>
        </w:rPr>
        <w:t>kancelar@zelenykruh.cz</w:t>
      </w:r>
    </w:hyperlink>
    <w:r w:rsidRPr="00EC770E">
      <w:rPr>
        <w:color w:val="6F9D21"/>
        <w:sz w:val="20"/>
      </w:rPr>
      <w:t xml:space="preserve"> </w:t>
    </w:r>
    <w:r w:rsidRPr="00EC770E">
      <w:rPr>
        <w:rFonts w:ascii="Wingdings" w:hAnsi="Wingdings"/>
        <w:color w:val="6F9D21"/>
        <w:sz w:val="14"/>
      </w:rPr>
      <w:sym w:font="Wingdings" w:char="F06C"/>
    </w:r>
    <w:r w:rsidRPr="00EC770E">
      <w:rPr>
        <w:color w:val="6F9D21"/>
        <w:sz w:val="20"/>
      </w:rPr>
      <w:t xml:space="preserve"> </w:t>
    </w:r>
    <w:hyperlink r:id="rId2" w:history="1">
      <w:r w:rsidRPr="00EC770E">
        <w:rPr>
          <w:rStyle w:val="Hypertextovodkaz"/>
          <w:color w:val="6F9D21"/>
          <w:sz w:val="20"/>
        </w:rPr>
        <w:t>www.zelenykruh.cz</w:t>
      </w:r>
    </w:hyperlink>
    <w:r w:rsidRPr="00EC770E">
      <w:rPr>
        <w:color w:val="6F9D21"/>
        <w:sz w:val="20"/>
      </w:rPr>
      <w:t xml:space="preserve"> </w:t>
    </w:r>
  </w:p>
  <w:p w14:paraId="275B6B82" w14:textId="77777777" w:rsidR="00605F7E" w:rsidRPr="00EC770E" w:rsidRDefault="00605F7E" w:rsidP="00EC770E">
    <w:pPr>
      <w:spacing w:line="240" w:lineRule="auto"/>
      <w:contextualSpacing/>
      <w:jc w:val="right"/>
      <w:rPr>
        <w:color w:val="6F9D21"/>
        <w:sz w:val="20"/>
      </w:rPr>
    </w:pPr>
    <w:r w:rsidRPr="00EC770E">
      <w:rPr>
        <w:color w:val="6F9D21"/>
        <w:sz w:val="20"/>
      </w:rPr>
      <w:fldChar w:fldCharType="begin"/>
    </w:r>
    <w:r w:rsidRPr="00EC770E">
      <w:rPr>
        <w:color w:val="6F9D21"/>
        <w:sz w:val="20"/>
      </w:rPr>
      <w:instrText>PAGE   \* MERGEFORMAT</w:instrText>
    </w:r>
    <w:r w:rsidRPr="00EC770E">
      <w:rPr>
        <w:color w:val="6F9D21"/>
        <w:sz w:val="20"/>
      </w:rPr>
      <w:fldChar w:fldCharType="separate"/>
    </w:r>
    <w:r w:rsidR="00E643CC">
      <w:rPr>
        <w:noProof/>
        <w:color w:val="6F9D21"/>
        <w:sz w:val="20"/>
      </w:rPr>
      <w:t>2</w:t>
    </w:r>
    <w:r w:rsidRPr="00EC770E">
      <w:rPr>
        <w:color w:val="6F9D21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E635D" w14:textId="77777777" w:rsidR="008F5EE6" w:rsidRDefault="008F5EE6" w:rsidP="00EB0AC1">
      <w:pPr>
        <w:spacing w:after="0" w:line="240" w:lineRule="auto"/>
      </w:pPr>
      <w:r>
        <w:separator/>
      </w:r>
    </w:p>
  </w:footnote>
  <w:footnote w:type="continuationSeparator" w:id="0">
    <w:p w14:paraId="6479F687" w14:textId="77777777" w:rsidR="008F5EE6" w:rsidRDefault="008F5EE6" w:rsidP="00EB0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2678C" w14:textId="77777777" w:rsidR="00300019" w:rsidRPr="0060707F" w:rsidRDefault="00300019" w:rsidP="00300019">
    <w:pPr>
      <w:rPr>
        <w:noProof/>
        <w:color w:val="6F9D21"/>
        <w:sz w:val="32"/>
        <w:lang w:eastAsia="cs-CZ"/>
      </w:rPr>
    </w:pPr>
    <w:r>
      <w:rPr>
        <w:noProof/>
        <w:lang w:eastAsia="cs-CZ"/>
      </w:rPr>
      <w:drawing>
        <wp:inline distT="0" distB="0" distL="0" distR="0" wp14:anchorId="544F764F" wp14:editId="280C4B64">
          <wp:extent cx="2922628" cy="465455"/>
          <wp:effectExtent l="0" t="0" r="0" b="0"/>
          <wp:docPr id="1" name="Obrázek 1" descr="C:\Users\PR\AppData\Local\Microsoft\Windows\INetCache\Content.Word\logo-zk-7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PR\AppData\Local\Microsoft\Windows\INetCache\Content.Word\logo-zk-7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8262" cy="471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hAnsiTheme="majorHAnsi"/>
      </w:rPr>
      <w:t xml:space="preserve">               </w:t>
    </w:r>
    <w:r>
      <w:rPr>
        <w:rFonts w:asciiTheme="majorHAnsi" w:hAnsiTheme="majorHAnsi"/>
        <w:noProof/>
        <w:lang w:eastAsia="cs-CZ"/>
      </w:rPr>
      <w:drawing>
        <wp:inline distT="0" distB="0" distL="0" distR="0" wp14:anchorId="05B21F2D" wp14:editId="7FEAECA6">
          <wp:extent cx="914400" cy="772511"/>
          <wp:effectExtent l="0" t="0" r="0" b="8890"/>
          <wp:docPr id="2" name="Obrázek 2" descr="logo-az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z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04" cy="793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hAnsiTheme="majorHAnsi"/>
      </w:rPr>
      <w:t xml:space="preserve">              </w:t>
    </w:r>
    <w:r>
      <w:rPr>
        <w:noProof/>
        <w:lang w:eastAsia="cs-CZ"/>
      </w:rPr>
      <w:drawing>
        <wp:inline distT="0" distB="0" distL="0" distR="0" wp14:anchorId="6FD6A7C7" wp14:editId="10B0B03B">
          <wp:extent cx="457200" cy="779321"/>
          <wp:effectExtent l="0" t="0" r="0" b="190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10036" cy="869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4B33D3" w14:textId="77777777" w:rsidR="00605F7E" w:rsidRPr="009A35D1" w:rsidRDefault="00605F7E" w:rsidP="00B61C23">
    <w:pPr>
      <w:spacing w:line="600" w:lineRule="auto"/>
      <w:rPr>
        <w:b/>
      </w:rPr>
    </w:pPr>
    <w:r w:rsidRPr="009A35D1">
      <w:rPr>
        <w:b/>
      </w:rPr>
      <w:t>TISKOVÁ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96128"/>
    <w:multiLevelType w:val="hybridMultilevel"/>
    <w:tmpl w:val="176E4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C1"/>
    <w:rsid w:val="0000703B"/>
    <w:rsid w:val="000222D7"/>
    <w:rsid w:val="00027CF9"/>
    <w:rsid w:val="00030F6B"/>
    <w:rsid w:val="000325B2"/>
    <w:rsid w:val="0007331E"/>
    <w:rsid w:val="00082D2B"/>
    <w:rsid w:val="000A0D73"/>
    <w:rsid w:val="000C7002"/>
    <w:rsid w:val="000D6FBE"/>
    <w:rsid w:val="000E4D85"/>
    <w:rsid w:val="00180D33"/>
    <w:rsid w:val="00187417"/>
    <w:rsid w:val="00187902"/>
    <w:rsid w:val="001D35FB"/>
    <w:rsid w:val="00212308"/>
    <w:rsid w:val="00212D6D"/>
    <w:rsid w:val="00224FF4"/>
    <w:rsid w:val="002409C1"/>
    <w:rsid w:val="00250B17"/>
    <w:rsid w:val="00265836"/>
    <w:rsid w:val="00273095"/>
    <w:rsid w:val="00290C41"/>
    <w:rsid w:val="002919D3"/>
    <w:rsid w:val="002B29CD"/>
    <w:rsid w:val="002C1ADF"/>
    <w:rsid w:val="002D5615"/>
    <w:rsid w:val="00300019"/>
    <w:rsid w:val="00314AE4"/>
    <w:rsid w:val="00317944"/>
    <w:rsid w:val="00317C13"/>
    <w:rsid w:val="00321A7F"/>
    <w:rsid w:val="00334784"/>
    <w:rsid w:val="00414657"/>
    <w:rsid w:val="00417E15"/>
    <w:rsid w:val="00437285"/>
    <w:rsid w:val="004770B6"/>
    <w:rsid w:val="00481813"/>
    <w:rsid w:val="00486A80"/>
    <w:rsid w:val="004914CB"/>
    <w:rsid w:val="004A5E09"/>
    <w:rsid w:val="004D50C7"/>
    <w:rsid w:val="004E454C"/>
    <w:rsid w:val="005025E5"/>
    <w:rsid w:val="005031A0"/>
    <w:rsid w:val="00516596"/>
    <w:rsid w:val="00550C02"/>
    <w:rsid w:val="00570D77"/>
    <w:rsid w:val="00586247"/>
    <w:rsid w:val="00587E5A"/>
    <w:rsid w:val="005A52DC"/>
    <w:rsid w:val="005B1785"/>
    <w:rsid w:val="005B4CD5"/>
    <w:rsid w:val="005B5651"/>
    <w:rsid w:val="005D0B2D"/>
    <w:rsid w:val="005E5BD6"/>
    <w:rsid w:val="005F534B"/>
    <w:rsid w:val="0060083F"/>
    <w:rsid w:val="00605F7E"/>
    <w:rsid w:val="0062283A"/>
    <w:rsid w:val="00625ED7"/>
    <w:rsid w:val="00641370"/>
    <w:rsid w:val="006A2CA3"/>
    <w:rsid w:val="006B6EF1"/>
    <w:rsid w:val="006E6A20"/>
    <w:rsid w:val="00741300"/>
    <w:rsid w:val="00784EC6"/>
    <w:rsid w:val="00786658"/>
    <w:rsid w:val="00793D77"/>
    <w:rsid w:val="007A3E9A"/>
    <w:rsid w:val="007A4A4D"/>
    <w:rsid w:val="007C6610"/>
    <w:rsid w:val="007D5F97"/>
    <w:rsid w:val="007E6327"/>
    <w:rsid w:val="007F627C"/>
    <w:rsid w:val="00813B86"/>
    <w:rsid w:val="00820029"/>
    <w:rsid w:val="00821571"/>
    <w:rsid w:val="008327C6"/>
    <w:rsid w:val="00847610"/>
    <w:rsid w:val="008513E7"/>
    <w:rsid w:val="00852E73"/>
    <w:rsid w:val="00853246"/>
    <w:rsid w:val="00870C4C"/>
    <w:rsid w:val="008E2930"/>
    <w:rsid w:val="008E7F57"/>
    <w:rsid w:val="008F5EE6"/>
    <w:rsid w:val="00910C42"/>
    <w:rsid w:val="00913C44"/>
    <w:rsid w:val="00924DB7"/>
    <w:rsid w:val="00972FC6"/>
    <w:rsid w:val="00992C89"/>
    <w:rsid w:val="00993EEA"/>
    <w:rsid w:val="009A0A27"/>
    <w:rsid w:val="009A35D1"/>
    <w:rsid w:val="009C30A5"/>
    <w:rsid w:val="009D1791"/>
    <w:rsid w:val="009E1010"/>
    <w:rsid w:val="00A07E1F"/>
    <w:rsid w:val="00A35EB9"/>
    <w:rsid w:val="00A51563"/>
    <w:rsid w:val="00A5743E"/>
    <w:rsid w:val="00A57762"/>
    <w:rsid w:val="00A63012"/>
    <w:rsid w:val="00A63226"/>
    <w:rsid w:val="00A81336"/>
    <w:rsid w:val="00AA419E"/>
    <w:rsid w:val="00AD01E9"/>
    <w:rsid w:val="00AE5F9C"/>
    <w:rsid w:val="00B25490"/>
    <w:rsid w:val="00B564DF"/>
    <w:rsid w:val="00B61C23"/>
    <w:rsid w:val="00B627C3"/>
    <w:rsid w:val="00B7159A"/>
    <w:rsid w:val="00B91F65"/>
    <w:rsid w:val="00BB30DE"/>
    <w:rsid w:val="00BF02D5"/>
    <w:rsid w:val="00C0215A"/>
    <w:rsid w:val="00C0649F"/>
    <w:rsid w:val="00C23D31"/>
    <w:rsid w:val="00C44361"/>
    <w:rsid w:val="00C56464"/>
    <w:rsid w:val="00C85ECD"/>
    <w:rsid w:val="00CA3A96"/>
    <w:rsid w:val="00CE30A3"/>
    <w:rsid w:val="00CF3F60"/>
    <w:rsid w:val="00D113AE"/>
    <w:rsid w:val="00D27A11"/>
    <w:rsid w:val="00D42ED9"/>
    <w:rsid w:val="00D83A6C"/>
    <w:rsid w:val="00D94BC2"/>
    <w:rsid w:val="00DB0EE3"/>
    <w:rsid w:val="00DE5D3B"/>
    <w:rsid w:val="00DE61AE"/>
    <w:rsid w:val="00DF0273"/>
    <w:rsid w:val="00DF756C"/>
    <w:rsid w:val="00E37509"/>
    <w:rsid w:val="00E56C32"/>
    <w:rsid w:val="00E643CC"/>
    <w:rsid w:val="00E805D3"/>
    <w:rsid w:val="00EA5339"/>
    <w:rsid w:val="00EB0AC1"/>
    <w:rsid w:val="00EC0378"/>
    <w:rsid w:val="00EC3B6E"/>
    <w:rsid w:val="00EC770E"/>
    <w:rsid w:val="00ED532F"/>
    <w:rsid w:val="00F00FE3"/>
    <w:rsid w:val="00F27200"/>
    <w:rsid w:val="00F62E27"/>
    <w:rsid w:val="00F63003"/>
    <w:rsid w:val="00F80D17"/>
    <w:rsid w:val="00FA270F"/>
    <w:rsid w:val="00FA6445"/>
    <w:rsid w:val="00FC1CE8"/>
    <w:rsid w:val="00FC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  <w14:docId w14:val="543E7E0D"/>
  <w15:docId w15:val="{1006D1FA-825F-46D3-ABB7-3DCD5424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770E"/>
    <w:pPr>
      <w:spacing w:line="264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DE5D3B"/>
    <w:pPr>
      <w:keepNext/>
      <w:keepLines/>
      <w:spacing w:before="240" w:after="0" w:line="276" w:lineRule="auto"/>
      <w:outlineLvl w:val="0"/>
    </w:pPr>
    <w:rPr>
      <w:rFonts w:asciiTheme="minorHAnsi" w:eastAsiaTheme="majorEastAsia" w:hAnsiTheme="minorHAnsi" w:cstheme="majorBidi"/>
      <w:b/>
      <w:color w:val="6F9D21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73095"/>
    <w:pPr>
      <w:keepNext/>
      <w:keepLines/>
      <w:spacing w:before="480" w:after="120"/>
      <w:outlineLvl w:val="1"/>
    </w:pPr>
    <w:rPr>
      <w:rFonts w:eastAsiaTheme="majorEastAsia" w:cstheme="majorBidi"/>
      <w:b/>
      <w:color w:val="71972D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0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0AC1"/>
  </w:style>
  <w:style w:type="paragraph" w:styleId="Zpat">
    <w:name w:val="footer"/>
    <w:basedOn w:val="Normln"/>
    <w:link w:val="ZpatChar"/>
    <w:uiPriority w:val="99"/>
    <w:unhideWhenUsed/>
    <w:rsid w:val="00EB0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0AC1"/>
  </w:style>
  <w:style w:type="table" w:styleId="Mkatabulky">
    <w:name w:val="Table Grid"/>
    <w:basedOn w:val="Normlntabulka"/>
    <w:uiPriority w:val="39"/>
    <w:rsid w:val="00B71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7159A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B7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EC770E"/>
    <w:rPr>
      <w:rFonts w:ascii="Calibri" w:hAnsi="Calibri"/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DE5D3B"/>
    <w:rPr>
      <w:rFonts w:eastAsiaTheme="majorEastAsia" w:cstheme="majorBidi"/>
      <w:b/>
      <w:color w:val="6F9D21"/>
      <w:sz w:val="36"/>
      <w:szCs w:val="32"/>
    </w:rPr>
  </w:style>
  <w:style w:type="paragraph" w:styleId="Bezmezer">
    <w:name w:val="No Spacing"/>
    <w:uiPriority w:val="1"/>
    <w:qFormat/>
    <w:rsid w:val="009A35D1"/>
    <w:pPr>
      <w:spacing w:after="0" w:line="240" w:lineRule="auto"/>
      <w:jc w:val="both"/>
    </w:pPr>
    <w:rPr>
      <w:rFonts w:ascii="Calibri" w:hAnsi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5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E09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C44361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273095"/>
    <w:rPr>
      <w:rFonts w:ascii="Calibri" w:eastAsiaTheme="majorEastAsia" w:hAnsi="Calibri" w:cstheme="majorBidi"/>
      <w:b/>
      <w:color w:val="71972D"/>
      <w:sz w:val="28"/>
      <w:szCs w:val="26"/>
    </w:rPr>
  </w:style>
  <w:style w:type="character" w:styleId="Odkaznakoment">
    <w:name w:val="annotation reference"/>
    <w:basedOn w:val="Standardnpsmoodstavce"/>
    <w:unhideWhenUsed/>
    <w:rsid w:val="00EC3B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3B6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3B6E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3B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3B6E"/>
    <w:rPr>
      <w:rFonts w:ascii="Calibri Light" w:hAnsi="Calibri Light"/>
      <w:b/>
      <w:bCs/>
      <w:sz w:val="20"/>
      <w:szCs w:val="20"/>
    </w:rPr>
  </w:style>
  <w:style w:type="paragraph" w:styleId="Revize">
    <w:name w:val="Revision"/>
    <w:hidden/>
    <w:uiPriority w:val="99"/>
    <w:semiHidden/>
    <w:rsid w:val="00EC3B6E"/>
    <w:pPr>
      <w:spacing w:after="0" w:line="240" w:lineRule="auto"/>
    </w:pPr>
    <w:rPr>
      <w:rFonts w:ascii="Calibri Light" w:hAnsi="Calibri Light"/>
    </w:rPr>
  </w:style>
  <w:style w:type="paragraph" w:customStyle="1" w:styleId="Standard">
    <w:name w:val="Standard"/>
    <w:rsid w:val="00250B17"/>
    <w:pPr>
      <w:suppressAutoHyphens/>
      <w:autoSpaceDN w:val="0"/>
      <w:spacing w:line="264" w:lineRule="auto"/>
      <w:jc w:val="both"/>
      <w:textAlignment w:val="baseline"/>
    </w:pPr>
    <w:rPr>
      <w:rFonts w:ascii="Calibri" w:eastAsia="Arial Unicode MS" w:hAnsi="Calibri" w:cs="Calibri"/>
      <w:kern w:val="3"/>
    </w:rPr>
  </w:style>
  <w:style w:type="paragraph" w:customStyle="1" w:styleId="Default">
    <w:name w:val="Default"/>
    <w:rsid w:val="00486A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0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88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2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2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5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4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0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1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vondrous@zelenykruh.cz" TargetMode="External"/><Relationship Id="rId13" Type="http://schemas.openxmlformats.org/officeDocument/2006/relationships/hyperlink" Target="http://www.nadacevia.cz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vel@cernohous.cz" TargetMode="External"/><Relationship Id="rId12" Type="http://schemas.openxmlformats.org/officeDocument/2006/relationships/hyperlink" Target="http://www.zelenykruh.cz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eeagrants.cz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elenykruh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ondnno.cz" TargetMode="External"/><Relationship Id="rId10" Type="http://schemas.openxmlformats.org/officeDocument/2006/relationships/hyperlink" Target="mailto:jiri.kana@zelenykruh.cz%2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drej.sindelar.@nadacevia.cz" TargetMode="Externa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lenykruh.cz" TargetMode="External"/><Relationship Id="rId1" Type="http://schemas.openxmlformats.org/officeDocument/2006/relationships/hyperlink" Target="mailto:kancelar@zelenykruh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732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40</cp:revision>
  <cp:lastPrinted>2015-08-13T12:55:00Z</cp:lastPrinted>
  <dcterms:created xsi:type="dcterms:W3CDTF">2015-08-13T12:54:00Z</dcterms:created>
  <dcterms:modified xsi:type="dcterms:W3CDTF">2015-10-12T13:42:00Z</dcterms:modified>
</cp:coreProperties>
</file>