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7" w:rsidRPr="002075D7" w:rsidRDefault="002075D7" w:rsidP="002075D7">
      <w:pPr>
        <w:pStyle w:val="Bezmezer"/>
        <w:rPr>
          <w:rStyle w:val="Siln"/>
          <w:bCs/>
        </w:rPr>
      </w:pPr>
      <w:r w:rsidRPr="002075D7">
        <w:rPr>
          <w:rStyle w:val="Siln"/>
          <w:bCs/>
        </w:rPr>
        <w:t>Odborné kontakty</w:t>
      </w:r>
    </w:p>
    <w:p w:rsidR="00776DF5" w:rsidRPr="00776DF5" w:rsidRDefault="00776DF5" w:rsidP="00776DF5">
      <w:pPr>
        <w:pStyle w:val="Bezmezer"/>
        <w:jc w:val="left"/>
        <w:rPr>
          <w:rStyle w:val="Siln"/>
          <w:b w:val="0"/>
          <w:color w:val="0563C1"/>
          <w:u w:val="single"/>
        </w:rPr>
      </w:pPr>
      <w:r>
        <w:rPr>
          <w:rStyle w:val="Siln"/>
        </w:rPr>
        <w:t xml:space="preserve">Mgr. </w:t>
      </w:r>
      <w:r w:rsidRPr="00992C89">
        <w:rPr>
          <w:rStyle w:val="Siln"/>
        </w:rPr>
        <w:t>Daniel Vondrouš</w:t>
      </w:r>
      <w:r w:rsidRPr="00992C89">
        <w:t>, expert na politiku životního prostředí</w:t>
      </w:r>
      <w:r>
        <w:t xml:space="preserve">, Zelený kruh, </w:t>
      </w:r>
      <w:r w:rsidRPr="00992C89">
        <w:t>724 215</w:t>
      </w:r>
      <w:r>
        <w:t> </w:t>
      </w:r>
      <w:r w:rsidRPr="00992C89">
        <w:t>068</w:t>
      </w:r>
      <w:r>
        <w:t xml:space="preserve">, </w:t>
      </w:r>
      <w:hyperlink r:id="rId7" w:history="1">
        <w:r w:rsidRPr="00992C89">
          <w:rPr>
            <w:rStyle w:val="Hypertextovodkaz"/>
          </w:rPr>
          <w:t>daniel.vondrous@zelenykruh.cz</w:t>
        </w:r>
      </w:hyperlink>
    </w:p>
    <w:p w:rsidR="002075D7" w:rsidRPr="002075D7" w:rsidRDefault="002075D7" w:rsidP="002075D7">
      <w:pPr>
        <w:pStyle w:val="Bezmezer"/>
        <w:rPr>
          <w:rStyle w:val="Siln"/>
          <w:bCs/>
        </w:rPr>
      </w:pPr>
    </w:p>
    <w:p w:rsidR="002075D7" w:rsidRPr="002075D7" w:rsidRDefault="002075D7" w:rsidP="002075D7">
      <w:pPr>
        <w:pStyle w:val="Bezmezer"/>
        <w:rPr>
          <w:rStyle w:val="Siln"/>
          <w:bCs/>
        </w:rPr>
      </w:pPr>
      <w:r w:rsidRPr="002075D7">
        <w:rPr>
          <w:rStyle w:val="Siln"/>
          <w:bCs/>
        </w:rPr>
        <w:t>Kontakt pro novináře</w:t>
      </w:r>
    </w:p>
    <w:p w:rsidR="002075D7" w:rsidRDefault="002075D7" w:rsidP="002075D7">
      <w:pPr>
        <w:pStyle w:val="Bezmezer"/>
        <w:rPr>
          <w:rStyle w:val="Siln"/>
          <w:b w:val="0"/>
          <w:bCs/>
        </w:rPr>
      </w:pPr>
      <w:r w:rsidRPr="002075D7">
        <w:rPr>
          <w:rStyle w:val="Siln"/>
          <w:bCs/>
        </w:rPr>
        <w:t>Jiří Kaňa</w:t>
      </w:r>
      <w:r w:rsidRPr="002075D7">
        <w:rPr>
          <w:rStyle w:val="Siln"/>
          <w:b w:val="0"/>
          <w:bCs/>
        </w:rPr>
        <w:t xml:space="preserve">, 607 800 915, </w:t>
      </w:r>
      <w:hyperlink r:id="rId8" w:history="1">
        <w:r w:rsidRPr="00944E1F">
          <w:rPr>
            <w:rStyle w:val="Hypertextovodkaz"/>
            <w:bCs/>
          </w:rPr>
          <w:t>jiri.kana@zelenykruh.cz</w:t>
        </w:r>
      </w:hyperlink>
    </w:p>
    <w:p w:rsidR="00850705" w:rsidRDefault="00B33597" w:rsidP="00285313">
      <w:pPr>
        <w:pStyle w:val="Nadpis1"/>
        <w:jc w:val="left"/>
      </w:pPr>
      <w:r>
        <w:t>E</w:t>
      </w:r>
      <w:r w:rsidR="00850705" w:rsidRPr="00850705">
        <w:t>kologická</w:t>
      </w:r>
      <w:r w:rsidR="00850705">
        <w:t xml:space="preserve"> politika vlády </w:t>
      </w:r>
      <w:r>
        <w:t xml:space="preserve">povede k poškození </w:t>
      </w:r>
      <w:r w:rsidR="00850705">
        <w:t xml:space="preserve">zdraví </w:t>
      </w:r>
      <w:r w:rsidR="00D3002C">
        <w:t>a ekonomickým ztrátám, tvrdí odborníci</w:t>
      </w:r>
    </w:p>
    <w:p w:rsidR="00850705" w:rsidRPr="00850705" w:rsidRDefault="00850705" w:rsidP="00850705">
      <w:pPr>
        <w:rPr>
          <w:rStyle w:val="Siln"/>
        </w:rPr>
      </w:pPr>
      <w:r w:rsidRPr="00850705">
        <w:rPr>
          <w:rStyle w:val="Siln"/>
        </w:rPr>
        <w:t xml:space="preserve">Kabinet Bohuslava Sobotky (ČSSD) má za sebou druhý rok fungování. </w:t>
      </w:r>
      <w:r w:rsidR="00A23110">
        <w:rPr>
          <w:rStyle w:val="Siln"/>
        </w:rPr>
        <w:t>V</w:t>
      </w:r>
      <w:r w:rsidRPr="00850705">
        <w:rPr>
          <w:rStyle w:val="Siln"/>
        </w:rPr>
        <w:t xml:space="preserve">  roce </w:t>
      </w:r>
      <w:r w:rsidR="00E34460">
        <w:rPr>
          <w:rStyle w:val="Siln"/>
        </w:rPr>
        <w:t xml:space="preserve">2015 </w:t>
      </w:r>
      <w:r w:rsidRPr="00850705">
        <w:rPr>
          <w:rStyle w:val="Siln"/>
        </w:rPr>
        <w:t xml:space="preserve">se podle odborníků </w:t>
      </w:r>
      <w:r w:rsidR="00E34460" w:rsidRPr="00850705">
        <w:rPr>
          <w:rStyle w:val="Siln"/>
        </w:rPr>
        <w:t xml:space="preserve">podařilo stabilizovat </w:t>
      </w:r>
      <w:r w:rsidR="00E34460">
        <w:rPr>
          <w:rStyle w:val="Siln"/>
        </w:rPr>
        <w:t>m</w:t>
      </w:r>
      <w:r w:rsidRPr="00850705">
        <w:rPr>
          <w:rStyle w:val="Siln"/>
        </w:rPr>
        <w:t>inisterstv</w:t>
      </w:r>
      <w:r w:rsidR="00E34460">
        <w:rPr>
          <w:rStyle w:val="Siln"/>
        </w:rPr>
        <w:t>o</w:t>
      </w:r>
      <w:r w:rsidR="00F4441F">
        <w:rPr>
          <w:rStyle w:val="Siln"/>
        </w:rPr>
        <w:t xml:space="preserve"> životního prostředí</w:t>
      </w:r>
      <w:r w:rsidR="00A23110">
        <w:rPr>
          <w:rStyle w:val="Siln"/>
        </w:rPr>
        <w:t xml:space="preserve">. </w:t>
      </w:r>
      <w:r w:rsidR="00E34460">
        <w:rPr>
          <w:rStyle w:val="Siln"/>
        </w:rPr>
        <w:t>V</w:t>
      </w:r>
      <w:r w:rsidR="00A23110">
        <w:rPr>
          <w:rStyle w:val="Siln"/>
        </w:rPr>
        <w:t>láda dota</w:t>
      </w:r>
      <w:r w:rsidR="00870E75">
        <w:rPr>
          <w:rStyle w:val="Siln"/>
        </w:rPr>
        <w:t>cemi</w:t>
      </w:r>
      <w:r w:rsidR="00A23110">
        <w:rPr>
          <w:rStyle w:val="Siln"/>
        </w:rPr>
        <w:t xml:space="preserve"> podpořila </w:t>
      </w:r>
      <w:r w:rsidR="00B4196F">
        <w:rPr>
          <w:rStyle w:val="Siln"/>
        </w:rPr>
        <w:t xml:space="preserve">energetické </w:t>
      </w:r>
      <w:r w:rsidR="00870E75">
        <w:rPr>
          <w:rStyle w:val="Siln"/>
        </w:rPr>
        <w:t xml:space="preserve">úspory domácností </w:t>
      </w:r>
      <w:r w:rsidR="00A23110">
        <w:rPr>
          <w:rStyle w:val="Siln"/>
        </w:rPr>
        <w:t>a usnadnila jim využívání čistých zdrojů energie, na druh</w:t>
      </w:r>
      <w:bookmarkStart w:id="0" w:name="_GoBack"/>
      <w:bookmarkEnd w:id="0"/>
      <w:r w:rsidR="00A23110">
        <w:rPr>
          <w:rStyle w:val="Siln"/>
        </w:rPr>
        <w:t xml:space="preserve">ou stranu </w:t>
      </w:r>
      <w:r w:rsidR="00793966">
        <w:rPr>
          <w:rStyle w:val="Siln"/>
        </w:rPr>
        <w:t>sníž</w:t>
      </w:r>
      <w:r w:rsidR="00B4196F">
        <w:rPr>
          <w:rStyle w:val="Siln"/>
        </w:rPr>
        <w:t>ením</w:t>
      </w:r>
      <w:r w:rsidR="00793966">
        <w:rPr>
          <w:rStyle w:val="Siln"/>
        </w:rPr>
        <w:t xml:space="preserve"> </w:t>
      </w:r>
      <w:r w:rsidR="00B4196F">
        <w:rPr>
          <w:rStyle w:val="Siln"/>
        </w:rPr>
        <w:t>recyklačního cíle</w:t>
      </w:r>
      <w:r w:rsidR="00870E75">
        <w:rPr>
          <w:rStyle w:val="Siln"/>
        </w:rPr>
        <w:t xml:space="preserve"> </w:t>
      </w:r>
      <w:r w:rsidR="00793966">
        <w:rPr>
          <w:rStyle w:val="Siln"/>
        </w:rPr>
        <w:t>umožnila plýtvání surovinami, ulehčila zástavbu kvalitní orné půdy a nakonec</w:t>
      </w:r>
      <w:r w:rsidR="00B4196F">
        <w:rPr>
          <w:rStyle w:val="Siln"/>
        </w:rPr>
        <w:t xml:space="preserve"> částečně</w:t>
      </w:r>
      <w:r w:rsidR="00793966">
        <w:rPr>
          <w:rStyle w:val="Siln"/>
        </w:rPr>
        <w:t xml:space="preserve"> prolomila limity těžby hnědého uhlí. </w:t>
      </w:r>
      <w:r w:rsidRPr="00850705">
        <w:rPr>
          <w:rStyle w:val="Siln"/>
        </w:rPr>
        <w:t xml:space="preserve">Některá přijatá či prosazovaná opatření budou dlouhodobě poškozovat zdraví lidí, krajinu i ekonomiku. Odstraňování následků se mnohonásobně prodraží. </w:t>
      </w:r>
    </w:p>
    <w:p w:rsidR="00850705" w:rsidRPr="00850705" w:rsidRDefault="00850705" w:rsidP="00850705">
      <w:r w:rsidRPr="00850705">
        <w:t>V Praze 17. prosince 2015</w:t>
      </w:r>
    </w:p>
    <w:p w:rsidR="00793966" w:rsidRDefault="00CA47C6" w:rsidP="0062347E">
      <w:pPr>
        <w:pStyle w:val="Nadpis2"/>
      </w:pPr>
      <w:r>
        <w:t>P</w:t>
      </w:r>
      <w:r w:rsidR="00793966">
        <w:t>odpo</w:t>
      </w:r>
      <w:r>
        <w:t>ra</w:t>
      </w:r>
      <w:r w:rsidR="00793966">
        <w:t xml:space="preserve"> úspor a šetrn</w:t>
      </w:r>
      <w:r>
        <w:t>é energie</w:t>
      </w:r>
    </w:p>
    <w:p w:rsidR="00850705" w:rsidRPr="00850705" w:rsidRDefault="00850705" w:rsidP="00850705">
      <w:r w:rsidRPr="00850705">
        <w:t>Odborníci z bezmála třiceti ekologických organizací sdružených v Zeleném kruhu v letošním působení vlády oceňují vyhlášení nové chráněné krajinné oblasti o ploše 330 km</w:t>
      </w:r>
      <w:r w:rsidRPr="0062347E">
        <w:rPr>
          <w:vertAlign w:val="superscript"/>
        </w:rPr>
        <w:t>2</w:t>
      </w:r>
      <w:r w:rsidRPr="00850705">
        <w:t xml:space="preserve"> na místě bývalého vojenského území Brdy a</w:t>
      </w:r>
      <w:r w:rsidR="00D129CA">
        <w:t> </w:t>
      </w:r>
      <w:r w:rsidRPr="00850705">
        <w:t xml:space="preserve">přilehlých přírodních parků. </w:t>
      </w:r>
    </w:p>
    <w:p w:rsidR="00850705" w:rsidRPr="00850705" w:rsidRDefault="00850705" w:rsidP="00850705">
      <w:r w:rsidRPr="00850705">
        <w:t>Vláda správně podpořila úspory domácností za energii prodloužením programu Nová zelená úsporám do roku 2021. Během šesti let má být rozděleno až 27 miliard korun. Dotační program navíc počítá také s podporou solárních panelů na střechách.</w:t>
      </w:r>
    </w:p>
    <w:p w:rsidR="00850705" w:rsidRDefault="00850705" w:rsidP="00850705">
      <w:r w:rsidRPr="00850705">
        <w:t>Dále také správně prosadila novelu zákona o podporovaných zdrojích energie, která usnadňuje provoz solárních elektráren na střechách rodinných domů či stavbu bioplynek. To pomůže využívání čistých domácích zdrojů energie a uspoří peníze mnoha domácnostem. Za vlastní spotřebovanou elektřinu však domácnosti musí platit daň.</w:t>
      </w:r>
    </w:p>
    <w:p w:rsidR="00793966" w:rsidRPr="00850705" w:rsidRDefault="009F3C06" w:rsidP="0062347E">
      <w:pPr>
        <w:pStyle w:val="Nadpis2"/>
      </w:pPr>
      <w:r>
        <w:t>Vlád</w:t>
      </w:r>
      <w:r w:rsidR="00B1362F">
        <w:t>ní kroky</w:t>
      </w:r>
      <w:r>
        <w:t xml:space="preserve"> </w:t>
      </w:r>
      <w:r w:rsidR="00B1362F">
        <w:t xml:space="preserve">směrem k </w:t>
      </w:r>
      <w:r>
        <w:t xml:space="preserve">plýtvání a </w:t>
      </w:r>
      <w:r w:rsidR="00F0154A">
        <w:t>ničení krajiny</w:t>
      </w:r>
    </w:p>
    <w:p w:rsidR="00850705" w:rsidRPr="00850705" w:rsidRDefault="00850705" w:rsidP="00850705">
      <w:r w:rsidRPr="00850705">
        <w:t xml:space="preserve">Odborníci na druhou stranu kritizují plýtvání surovinami, poté co Sobotkův kabinet nepochopitelně snížil cíl pro recyklaci domácího odpadu z 50 na </w:t>
      </w:r>
      <w:r w:rsidRPr="00850705">
        <w:rPr>
          <w:rFonts w:eastAsia="Calibri"/>
        </w:rPr>
        <w:t>35 %</w:t>
      </w:r>
      <w:r w:rsidRPr="00850705">
        <w:t xml:space="preserve">. Ve svém vlastním programovém prohlášení přitom slíbil zvýšit míru recyklace na úroveň vyspělých zemí, kde se pohybuje nad 60 %. Ministerstvo místo toho podporuje krajské plány odpadového hospodářství, které omezují recyklaci a směřují k výstavbě nových spaloven. Podpora spalování povede k plýtvání surovinami a občané za odpad zaplatí zbytečně desítky miliard korun navíc. </w:t>
      </w:r>
    </w:p>
    <w:p w:rsidR="00850705" w:rsidRPr="00850705" w:rsidRDefault="00850705" w:rsidP="00850705">
      <w:r w:rsidRPr="00850705">
        <w:lastRenderedPageBreak/>
        <w:t>Novelou zákona o ochraně zemědělského půdního fondu vláda sice zlepšila ochranu půd</w:t>
      </w:r>
      <w:r w:rsidR="00CB2460">
        <w:t>y</w:t>
      </w:r>
      <w:r w:rsidRPr="00850705">
        <w:t xml:space="preserve"> před erozí, avšak současně snížila ochranu kvalitní orné půdy před její zástavbou. Zavedla totiž rozsáhlé výjimky z poplatků za její zábor a usnadnila výstavbu nových hal, skladů či silnic na orné půdě. Česká republika díky tomu ztrácí týdně nejcennější ornou půdu o rozloze několika fotbalových hřišť. </w:t>
      </w:r>
    </w:p>
    <w:p w:rsidR="00850705" w:rsidRPr="00850705" w:rsidRDefault="00850705" w:rsidP="00850705">
      <w:r w:rsidRPr="00850705">
        <w:t>Ačkoliv podle Státní energetické koncepce a studií ministerstva průmyslu nebude nově zpřístupněné uhlí ze severu Čech pro energetiku nezbytné, ministři částečně prolomili limity těžby hnědého uhlí na lomu Bílina</w:t>
      </w:r>
      <w:r w:rsidR="00B33597">
        <w:t>.</w:t>
      </w:r>
      <w:r w:rsidRPr="00850705">
        <w:t xml:space="preserve"> </w:t>
      </w:r>
      <w:r w:rsidR="00B33597">
        <w:t>Z</w:t>
      </w:r>
      <w:r w:rsidRPr="00850705">
        <w:t xml:space="preserve">akázali však rypadlům přiblížit se </w:t>
      </w:r>
      <w:r w:rsidR="00B33597">
        <w:t>více</w:t>
      </w:r>
      <w:r w:rsidR="00B33597" w:rsidRPr="00850705">
        <w:t xml:space="preserve"> </w:t>
      </w:r>
      <w:r w:rsidRPr="00850705">
        <w:t>než na 500 metrů k domům. Přestože se místním lidem a ekologickým organizacím podařilo uhájit okolní obce před bouráním a nejhoršími dopady těžby, ovzduší a krajina budou poškozovány i nadále. Prach z těžby a zplodiny ze spáleného uhlí v tepelných elektrárnách se také podepíší na zdraví obyvatel. Podle vědeckých statistik bude mít znečištěné ovzduší ze spálení nově zpřístupněného uhlí na svědomí každoročně až tisíc případů astmatu u malých dětí a několik tisíc předčasných úmrtí.</w:t>
      </w:r>
    </w:p>
    <w:p w:rsidR="00850705" w:rsidRPr="00850705" w:rsidRDefault="00850705" w:rsidP="00850705">
      <w:pPr>
        <w:rPr>
          <w:i/>
        </w:rPr>
      </w:pPr>
      <w:r w:rsidRPr="00850705">
        <w:rPr>
          <w:b/>
        </w:rPr>
        <w:t xml:space="preserve">Citace Daniela Vondrouše, odborníka </w:t>
      </w:r>
      <w:r w:rsidR="00B33597" w:rsidRPr="00850705">
        <w:rPr>
          <w:b/>
        </w:rPr>
        <w:t xml:space="preserve">Zeleného kruhu </w:t>
      </w:r>
      <w:r w:rsidRPr="00850705">
        <w:rPr>
          <w:b/>
        </w:rPr>
        <w:t xml:space="preserve">na politiku životního prostředí: </w:t>
      </w:r>
      <w:r w:rsidRPr="00850705">
        <w:rPr>
          <w:i/>
        </w:rPr>
        <w:t>„Vláda v oblasti ochrany přírody a životního prostředí selhává. Řešení, která by vedla k </w:t>
      </w:r>
      <w:r w:rsidR="00DC0269">
        <w:rPr>
          <w:i/>
        </w:rPr>
        <w:t>lepší ochraně zdraví obyvatel a </w:t>
      </w:r>
      <w:r w:rsidRPr="00850705">
        <w:rPr>
          <w:i/>
        </w:rPr>
        <w:t>životního prostředí, byla převálcována. Pokud by byl výkon Sobotkovy vlády v této oblasti za uplynulý rok hodnocen školním známkováním, zasloužila by čtyřku a přiblížila by se propadnutí.“</w:t>
      </w:r>
    </w:p>
    <w:p w:rsidR="00850705" w:rsidRPr="00850705" w:rsidRDefault="00850705" w:rsidP="00850705">
      <w:pPr>
        <w:rPr>
          <w:i/>
        </w:rPr>
      </w:pPr>
      <w:r w:rsidRPr="00850705">
        <w:rPr>
          <w:b/>
        </w:rPr>
        <w:t>Citace Edvarda Sequense, energetického konzultanta a předsedu Calla – Sdružení pro záchranu prostředí:</w:t>
      </w:r>
      <w:r w:rsidRPr="00850705">
        <w:t xml:space="preserve"> </w:t>
      </w:r>
      <w:r w:rsidRPr="00850705">
        <w:rPr>
          <w:i/>
        </w:rPr>
        <w:t xml:space="preserve">„V energetice je letošní rok zarámován výrazným zklamáním, když vláda uvolnila </w:t>
      </w:r>
      <w:r w:rsidR="00B33597" w:rsidRPr="00850705">
        <w:rPr>
          <w:i/>
        </w:rPr>
        <w:t xml:space="preserve">ke spálení </w:t>
      </w:r>
      <w:r w:rsidRPr="00850705">
        <w:rPr>
          <w:i/>
        </w:rPr>
        <w:t xml:space="preserve">další hnědé uhlí na dolu Bílina a porušila tak desítky let platnou společenskou shodu o zachování územně-ekologických limitů těžby uhlí. Uvolnila také ruce těžařům i ČEZu k přípravě nových reaktorů a otevírání uranových dolů. Vedle nákladů, které za tyto projekty zaplatí daňový poplatník, se pozitivní investice do čistých obnovitelných zdrojů a úspor energií doslova ztrácejí.“ </w:t>
      </w:r>
    </w:p>
    <w:p w:rsidR="00850705" w:rsidRPr="005C1571" w:rsidRDefault="005C1571" w:rsidP="005C1571">
      <w:pPr>
        <w:rPr>
          <w:rStyle w:val="Siln"/>
          <w:b w:val="0"/>
          <w:bCs/>
        </w:rPr>
      </w:pPr>
      <w:r>
        <w:rPr>
          <w:rStyle w:val="Siln"/>
          <w:bCs/>
        </w:rPr>
        <w:t xml:space="preserve">Citace Jana Duška, ředitele Beleco: </w:t>
      </w:r>
      <w:r w:rsidRPr="005C1571">
        <w:rPr>
          <w:rStyle w:val="Siln"/>
          <w:b w:val="0"/>
          <w:bCs/>
          <w:i/>
        </w:rPr>
        <w:t>„</w:t>
      </w:r>
      <w:r w:rsidRPr="005C1571">
        <w:rPr>
          <w:i/>
        </w:rPr>
        <w:t>Zjednodušeně řečeno, kroky vlády v ochraně přírody a krajiny byly v uplynulých letech horší, ale do budoucna by měly být výrazně účinnější. V novelách zákonů se promítá řada komp</w:t>
      </w:r>
      <w:r>
        <w:rPr>
          <w:i/>
        </w:rPr>
        <w:t>romisů oslabujících jejich účel. T</w:t>
      </w:r>
      <w:r w:rsidRPr="005C1571">
        <w:rPr>
          <w:i/>
        </w:rPr>
        <w:t>aké postoj k naplňování směrnic EU a k potřebě jejich zachování je ze strany vlády příliš laxní.“</w:t>
      </w:r>
    </w:p>
    <w:p w:rsidR="005C1571" w:rsidRDefault="005C1571" w:rsidP="006E7F56">
      <w:pPr>
        <w:pStyle w:val="Stednmka21"/>
        <w:rPr>
          <w:rStyle w:val="Siln"/>
          <w:bCs/>
        </w:rPr>
      </w:pPr>
    </w:p>
    <w:p w:rsidR="006E7F56" w:rsidRPr="00FC3A2E" w:rsidRDefault="006E7F56" w:rsidP="006E7F56">
      <w:pPr>
        <w:pStyle w:val="Stednmka21"/>
        <w:rPr>
          <w:rStyle w:val="Siln"/>
          <w:bCs/>
        </w:rPr>
      </w:pPr>
      <w:r w:rsidRPr="00FC3A2E">
        <w:rPr>
          <w:rStyle w:val="Siln"/>
          <w:bCs/>
        </w:rPr>
        <w:t>Informace pro média</w:t>
      </w:r>
    </w:p>
    <w:p w:rsidR="006E7F56" w:rsidRPr="00FC3A2E" w:rsidRDefault="006E7F56" w:rsidP="006E7F56">
      <w:pPr>
        <w:rPr>
          <w:i/>
          <w:sz w:val="20"/>
        </w:rPr>
      </w:pPr>
      <w:r w:rsidRPr="00FC3A2E">
        <w:rPr>
          <w:i/>
          <w:sz w:val="20"/>
        </w:rPr>
        <w:t>Zelený kruh je asociace, která sdružuje 27 významných ekologických nevládních organizací (mj. Frank Bold, Greenpeace, Hnutí D</w:t>
      </w:r>
      <w:r w:rsidR="00B15368">
        <w:rPr>
          <w:i/>
          <w:sz w:val="20"/>
        </w:rPr>
        <w:t>UHA</w:t>
      </w:r>
      <w:r>
        <w:rPr>
          <w:i/>
          <w:sz w:val="20"/>
        </w:rPr>
        <w:t>, Česká společnost ornitologická</w:t>
      </w:r>
      <w:r w:rsidRPr="00FC3A2E">
        <w:rPr>
          <w:i/>
          <w:sz w:val="20"/>
        </w:rPr>
        <w:t>) působících v České republice. Asociace se věnuje plošnému monitorování zákonů a politik, koordinuje legislativní kampaně a poskytuje aktivní podporu při advokační činnosti zaměřené na zachování kvalitní ochrany životního prostředí a vysoké úrovně občanských práv v rozhodovacích procesech. Dlouhodobě se zabývá problematikou účasti veřejnosti na rozhodování o záměrech a projektech s dopadem na životní prostředí. Zelený kruh se také věnuje koordinaci výběru nevládních expertů a expertek do me</w:t>
      </w:r>
      <w:r>
        <w:rPr>
          <w:i/>
          <w:sz w:val="20"/>
        </w:rPr>
        <w:t>zioborových pracovních skupin a </w:t>
      </w:r>
      <w:r w:rsidRPr="00FC3A2E">
        <w:rPr>
          <w:i/>
          <w:sz w:val="20"/>
        </w:rPr>
        <w:t>poradních orgánů a komisí vlády a koordinuje vznik společných připomínek, pozic a veřejných vyjá</w:t>
      </w:r>
      <w:r w:rsidR="002D7C76">
        <w:rPr>
          <w:i/>
          <w:sz w:val="20"/>
        </w:rPr>
        <w:t>dření ekologických organizací k </w:t>
      </w:r>
      <w:r w:rsidRPr="00FC3A2E">
        <w:rPr>
          <w:i/>
          <w:sz w:val="20"/>
        </w:rPr>
        <w:t>významným situacím v ochraně životního prostředí.</w:t>
      </w:r>
    </w:p>
    <w:p w:rsidR="006E7F56" w:rsidRDefault="006E7F56" w:rsidP="006E7F56">
      <w:pPr>
        <w:rPr>
          <w:i/>
          <w:sz w:val="20"/>
        </w:rPr>
      </w:pPr>
      <w:r w:rsidRPr="00FC3A2E">
        <w:rPr>
          <w:i/>
          <w:sz w:val="20"/>
        </w:rPr>
        <w:t xml:space="preserve">Více informací naleznete na </w:t>
      </w:r>
      <w:hyperlink r:id="rId9" w:history="1">
        <w:r w:rsidRPr="00FC3A2E">
          <w:rPr>
            <w:rStyle w:val="Hypertextovodkaz"/>
            <w:i/>
            <w:sz w:val="20"/>
          </w:rPr>
          <w:t>www.zelenykruh.cz/o-nas</w:t>
        </w:r>
      </w:hyperlink>
      <w:r w:rsidRPr="00FC3A2E">
        <w:rPr>
          <w:i/>
          <w:sz w:val="20"/>
        </w:rPr>
        <w:t xml:space="preserve">. </w:t>
      </w:r>
    </w:p>
    <w:p w:rsidR="00E426CF" w:rsidRPr="00E07AE8" w:rsidRDefault="00CE075F" w:rsidP="00E426CF">
      <w:pPr>
        <w:pStyle w:val="Zpat"/>
        <w:rPr>
          <w:sz w:val="16"/>
          <w:szCs w:val="16"/>
        </w:rPr>
      </w:pPr>
      <w:r w:rsidRPr="00E426CF">
        <w:rPr>
          <w:rFonts w:ascii="Source Sans Pro" w:hAnsi="Source Sans Pro"/>
          <w:noProof/>
          <w:sz w:val="16"/>
          <w:szCs w:val="16"/>
          <w:lang w:eastAsia="cs-CZ"/>
        </w:rPr>
        <w:drawing>
          <wp:inline distT="0" distB="0" distL="0" distR="0">
            <wp:extent cx="4124325" cy="419100"/>
            <wp:effectExtent l="0" t="0" r="9525" b="0"/>
            <wp:docPr id="2" name="Obrázek 22" descr="loga-fondnno-nros-partnestvi-eeagrants-velk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loga-fondnno-nros-partnestvi-eeagrants-velka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6CF" w:rsidRPr="00045A11">
        <w:rPr>
          <w:noProof/>
          <w:lang w:eastAsia="cs-CZ"/>
        </w:rPr>
        <w:t xml:space="preserve"> </w:t>
      </w:r>
      <w:r w:rsidR="00E426CF">
        <w:rPr>
          <w:noProof/>
          <w:lang w:eastAsia="cs-CZ"/>
        </w:rPr>
        <w:t xml:space="preserve">              </w:t>
      </w:r>
    </w:p>
    <w:p w:rsidR="00E426CF" w:rsidRPr="00A81336" w:rsidRDefault="00E426CF" w:rsidP="00E426CF">
      <w:pPr>
        <w:pStyle w:val="Zpat"/>
        <w:rPr>
          <w:sz w:val="20"/>
          <w:szCs w:val="16"/>
        </w:rPr>
      </w:pPr>
      <w:r w:rsidRPr="00A81336">
        <w:rPr>
          <w:sz w:val="20"/>
          <w:szCs w:val="16"/>
        </w:rPr>
        <w:t xml:space="preserve">Podpořeno grantem z Islandu, Lichtenštejnska a Norska v rámci EHP fondů. </w:t>
      </w:r>
    </w:p>
    <w:p w:rsidR="00E426CF" w:rsidRPr="00A81336" w:rsidRDefault="00741B64" w:rsidP="00E426CF">
      <w:pPr>
        <w:pStyle w:val="Zpat"/>
        <w:rPr>
          <w:sz w:val="20"/>
          <w:szCs w:val="16"/>
        </w:rPr>
      </w:pPr>
      <w:hyperlink r:id="rId11" w:history="1">
        <w:r w:rsidR="00E426CF" w:rsidRPr="005347E7">
          <w:rPr>
            <w:rStyle w:val="Hypertextovodkaz"/>
            <w:sz w:val="20"/>
            <w:szCs w:val="16"/>
          </w:rPr>
          <w:t>www.fondnno.cz</w:t>
        </w:r>
      </w:hyperlink>
      <w:r w:rsidR="00E426CF">
        <w:rPr>
          <w:sz w:val="20"/>
          <w:szCs w:val="16"/>
        </w:rPr>
        <w:t xml:space="preserve"> </w:t>
      </w:r>
      <w:r w:rsidR="00E426CF" w:rsidRPr="00A81336">
        <w:rPr>
          <w:sz w:val="20"/>
          <w:szCs w:val="16"/>
        </w:rPr>
        <w:t>a </w:t>
      </w:r>
      <w:hyperlink r:id="rId12" w:history="1">
        <w:r w:rsidR="00E426CF" w:rsidRPr="005347E7">
          <w:rPr>
            <w:rStyle w:val="Hypertextovodkaz"/>
            <w:sz w:val="20"/>
            <w:szCs w:val="16"/>
          </w:rPr>
          <w:t>www.eeagrants.cz</w:t>
        </w:r>
      </w:hyperlink>
      <w:r w:rsidR="00E426CF">
        <w:rPr>
          <w:sz w:val="20"/>
          <w:szCs w:val="16"/>
        </w:rPr>
        <w:t xml:space="preserve"> </w:t>
      </w:r>
    </w:p>
    <w:sectPr w:rsidR="00E426CF" w:rsidRPr="00A81336" w:rsidSect="006E7F56">
      <w:headerReference w:type="default" r:id="rId13"/>
      <w:footerReference w:type="default" r:id="rId14"/>
      <w:pgSz w:w="11906" w:h="16838" w:code="9"/>
      <w:pgMar w:top="1843" w:right="107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4C" w:rsidRDefault="00BC7D4C" w:rsidP="006E7F56">
      <w:pPr>
        <w:spacing w:after="0" w:line="240" w:lineRule="auto"/>
      </w:pPr>
      <w:r>
        <w:separator/>
      </w:r>
    </w:p>
  </w:endnote>
  <w:endnote w:type="continuationSeparator" w:id="0">
    <w:p w:rsidR="00BC7D4C" w:rsidRDefault="00BC7D4C" w:rsidP="006E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6" w:rsidRPr="00E07AE8" w:rsidRDefault="00741B64" w:rsidP="006E7F56">
    <w:pPr>
      <w:pStyle w:val="Zpat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pict>
        <v:rect id="_x0000_i1025" style="width:487.6pt;height:1pt" o:hralign="center" o:hrstd="t" o:hrnoshade="t" o:hr="t" fillcolor="#6f9d21" stroked="f">
          <v:imagedata r:id="rId1" o:title=""/>
        </v:rect>
      </w:pict>
    </w:r>
  </w:p>
  <w:p w:rsidR="006E7F56" w:rsidRDefault="006E7F56" w:rsidP="006E7F56">
    <w:pPr>
      <w:spacing w:line="240" w:lineRule="auto"/>
      <w:contextualSpacing/>
    </w:pPr>
  </w:p>
  <w:p w:rsidR="006E7F56" w:rsidRPr="00EC770E" w:rsidRDefault="006E7F56" w:rsidP="006E7F56">
    <w:pPr>
      <w:spacing w:line="240" w:lineRule="auto"/>
      <w:contextualSpacing/>
      <w:rPr>
        <w:color w:val="6F9D21"/>
      </w:rPr>
    </w:pPr>
    <w:r w:rsidRPr="00EC770E">
      <w:rPr>
        <w:color w:val="6F9D21"/>
      </w:rPr>
      <w:t xml:space="preserve">ZELENÝ KRUH </w:t>
    </w:r>
    <w:r w:rsidRPr="00EC770E">
      <w:rPr>
        <w:rFonts w:ascii="Wingdings" w:hAnsi="Wingdings"/>
        <w:color w:val="6F9D21"/>
        <w:sz w:val="16"/>
        <w:szCs w:val="16"/>
      </w:rPr>
      <w:sym w:font="Wingdings" w:char="F06C"/>
    </w:r>
    <w:r w:rsidRPr="00EC770E">
      <w:rPr>
        <w:color w:val="6F9D21"/>
      </w:rPr>
      <w:t xml:space="preserve"> Asociace ekologických organizací</w:t>
    </w:r>
  </w:p>
  <w:p w:rsidR="006E7F56" w:rsidRPr="00DE5D3B" w:rsidRDefault="006E7F56" w:rsidP="006E7F56">
    <w:pPr>
      <w:spacing w:line="240" w:lineRule="auto"/>
      <w:contextualSpacing/>
      <w:rPr>
        <w:color w:val="6F9D21"/>
        <w:sz w:val="20"/>
      </w:rPr>
    </w:pPr>
    <w:r w:rsidRPr="00EC770E">
      <w:rPr>
        <w:color w:val="6F9D21"/>
        <w:sz w:val="20"/>
      </w:rPr>
      <w:t xml:space="preserve">Lublaňská 18, 120 00 Praha 2, (+420) 222 517 143 </w:t>
    </w:r>
    <w:r w:rsidRPr="00EC770E">
      <w:rPr>
        <w:rFonts w:ascii="Wingdings" w:hAnsi="Wingdings"/>
        <w:color w:val="6F9D21"/>
        <w:sz w:val="14"/>
        <w:szCs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2" w:history="1">
      <w:r w:rsidRPr="00EC770E">
        <w:rPr>
          <w:rStyle w:val="Hypertextovodkaz"/>
          <w:color w:val="6F9D21"/>
          <w:sz w:val="20"/>
        </w:rPr>
        <w:t>kancelar@zelenykruh.cz</w:t>
      </w:r>
    </w:hyperlink>
    <w:r w:rsidRPr="00EC770E">
      <w:rPr>
        <w:color w:val="6F9D21"/>
        <w:sz w:val="20"/>
      </w:rPr>
      <w:t xml:space="preserve"> </w:t>
    </w:r>
    <w:r w:rsidRPr="00EC770E">
      <w:rPr>
        <w:rFonts w:ascii="Wingdings" w:hAnsi="Wingdings"/>
        <w:color w:val="6F9D21"/>
        <w:sz w:val="14"/>
        <w:szCs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3" w:history="1">
      <w:r w:rsidRPr="00EC770E">
        <w:rPr>
          <w:rStyle w:val="Hypertextovodkaz"/>
          <w:color w:val="6F9D21"/>
          <w:sz w:val="20"/>
        </w:rPr>
        <w:t>www.zelenykruh.cz</w:t>
      </w:r>
    </w:hyperlink>
    <w:r w:rsidRPr="00EC770E">
      <w:rPr>
        <w:color w:val="6F9D21"/>
        <w:sz w:val="20"/>
      </w:rPr>
      <w:t xml:space="preserve"> </w:t>
    </w:r>
  </w:p>
  <w:p w:rsidR="006E7F56" w:rsidRPr="00EC770E" w:rsidRDefault="006E7F56" w:rsidP="006E7F56">
    <w:pPr>
      <w:spacing w:line="240" w:lineRule="auto"/>
      <w:contextualSpacing/>
      <w:jc w:val="right"/>
      <w:rPr>
        <w:color w:val="6F9D21"/>
        <w:sz w:val="20"/>
      </w:rPr>
    </w:pPr>
    <w:r>
      <w:fldChar w:fldCharType="begin"/>
    </w:r>
    <w:r>
      <w:instrText>PAGE   \* MERGEFORMAT</w:instrText>
    </w:r>
    <w:r>
      <w:fldChar w:fldCharType="separate"/>
    </w:r>
    <w:r w:rsidR="00741B64" w:rsidRPr="00741B64">
      <w:rPr>
        <w:noProof/>
        <w:color w:val="6F9D21"/>
        <w:sz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4C" w:rsidRDefault="00BC7D4C" w:rsidP="006E7F56">
      <w:pPr>
        <w:spacing w:after="0" w:line="240" w:lineRule="auto"/>
      </w:pPr>
      <w:r>
        <w:separator/>
      </w:r>
    </w:p>
  </w:footnote>
  <w:footnote w:type="continuationSeparator" w:id="0">
    <w:p w:rsidR="00BC7D4C" w:rsidRDefault="00BC7D4C" w:rsidP="006E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F5" w:rsidRDefault="00CE075F" w:rsidP="00776DF5">
    <w:pPr>
      <w:pStyle w:val="Bezmezer"/>
      <w:jc w:val="left"/>
    </w:pPr>
    <w:r w:rsidRPr="00D06B2E">
      <w:rPr>
        <w:noProof/>
        <w:lang w:eastAsia="cs-CZ"/>
      </w:rPr>
      <w:drawing>
        <wp:inline distT="0" distB="0" distL="0" distR="0">
          <wp:extent cx="2276475" cy="352425"/>
          <wp:effectExtent l="0" t="0" r="9525" b="9525"/>
          <wp:docPr id="4" name="image07.jpg" descr="C:\Users\PR\AppData\Local\Microsoft\Windows\INetCache\Content.Word\logo-zk-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C:\Users\PR\AppData\Local\Microsoft\Windows\INetCache\Content.Word\logo-zk-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5D7" w:rsidRPr="00794413" w:rsidRDefault="006E7F56" w:rsidP="00794413">
    <w:pPr>
      <w:rPr>
        <w:b/>
      </w:rPr>
    </w:pPr>
    <w:r w:rsidRPr="00794413">
      <w:rPr>
        <w:b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6128"/>
    <w:multiLevelType w:val="hybridMultilevel"/>
    <w:tmpl w:val="176E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1"/>
    <w:rsid w:val="002075D7"/>
    <w:rsid w:val="00285313"/>
    <w:rsid w:val="0029512B"/>
    <w:rsid w:val="002D7C76"/>
    <w:rsid w:val="003F7F4D"/>
    <w:rsid w:val="00405752"/>
    <w:rsid w:val="00474431"/>
    <w:rsid w:val="004A4331"/>
    <w:rsid w:val="0057480C"/>
    <w:rsid w:val="00592950"/>
    <w:rsid w:val="005A5251"/>
    <w:rsid w:val="005C1571"/>
    <w:rsid w:val="0062347E"/>
    <w:rsid w:val="006262B4"/>
    <w:rsid w:val="0066494A"/>
    <w:rsid w:val="006E7E7E"/>
    <w:rsid w:val="006E7F56"/>
    <w:rsid w:val="00741B64"/>
    <w:rsid w:val="00776DF5"/>
    <w:rsid w:val="00793966"/>
    <w:rsid w:val="00794413"/>
    <w:rsid w:val="00850705"/>
    <w:rsid w:val="0085214F"/>
    <w:rsid w:val="0086386D"/>
    <w:rsid w:val="00870E75"/>
    <w:rsid w:val="008F1F97"/>
    <w:rsid w:val="00955968"/>
    <w:rsid w:val="009F3C06"/>
    <w:rsid w:val="00A23110"/>
    <w:rsid w:val="00A3376A"/>
    <w:rsid w:val="00AD3B73"/>
    <w:rsid w:val="00AF2988"/>
    <w:rsid w:val="00B1362F"/>
    <w:rsid w:val="00B15368"/>
    <w:rsid w:val="00B33597"/>
    <w:rsid w:val="00B4196F"/>
    <w:rsid w:val="00BC7D4C"/>
    <w:rsid w:val="00C8070E"/>
    <w:rsid w:val="00CA47C6"/>
    <w:rsid w:val="00CA6AEE"/>
    <w:rsid w:val="00CB2460"/>
    <w:rsid w:val="00CE075F"/>
    <w:rsid w:val="00D129CA"/>
    <w:rsid w:val="00D3002C"/>
    <w:rsid w:val="00DC0269"/>
    <w:rsid w:val="00DD745B"/>
    <w:rsid w:val="00DE3132"/>
    <w:rsid w:val="00E34460"/>
    <w:rsid w:val="00E426CF"/>
    <w:rsid w:val="00E474E7"/>
    <w:rsid w:val="00EB0AC1"/>
    <w:rsid w:val="00F01407"/>
    <w:rsid w:val="00F0154A"/>
    <w:rsid w:val="00F4441F"/>
    <w:rsid w:val="00FB0ADE"/>
    <w:rsid w:val="00FC3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23F00A4A-63CC-49FC-8A83-8B5D2E99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0E"/>
    <w:pPr>
      <w:spacing w:after="160" w:line="264" w:lineRule="auto"/>
      <w:jc w:val="both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E5D3B"/>
    <w:pPr>
      <w:keepNext/>
      <w:keepLines/>
      <w:spacing w:before="240" w:after="0" w:line="276" w:lineRule="auto"/>
      <w:outlineLvl w:val="0"/>
    </w:pPr>
    <w:rPr>
      <w:rFonts w:eastAsia="MS ????"/>
      <w:b/>
      <w:color w:val="6F9D21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73095"/>
    <w:pPr>
      <w:keepNext/>
      <w:keepLines/>
      <w:spacing w:before="480" w:after="120"/>
      <w:outlineLvl w:val="1"/>
    </w:pPr>
    <w:rPr>
      <w:rFonts w:eastAsia="MS ????"/>
      <w:b/>
      <w:color w:val="71972D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EB0AC1"/>
    <w:rPr>
      <w:rFonts w:cs="Times New Roman"/>
    </w:rPr>
  </w:style>
  <w:style w:type="paragraph" w:styleId="Zpat">
    <w:name w:val="footer"/>
    <w:basedOn w:val="Normln"/>
    <w:link w:val="ZpatChar"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EB0AC1"/>
    <w:rPr>
      <w:rFonts w:cs="Times New Roman"/>
    </w:rPr>
  </w:style>
  <w:style w:type="table" w:styleId="Mkatabulky">
    <w:name w:val="Table Grid"/>
    <w:basedOn w:val="Normlntabulka"/>
    <w:rsid w:val="00B715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159A"/>
    <w:rPr>
      <w:rFonts w:cs="Times New Roman"/>
      <w:color w:val="0563C1"/>
      <w:u w:val="single"/>
    </w:rPr>
  </w:style>
  <w:style w:type="paragraph" w:styleId="Normlnweb">
    <w:name w:val="Normal (Web)"/>
    <w:basedOn w:val="Normln"/>
    <w:uiPriority w:val="99"/>
    <w:rsid w:val="00B715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EC770E"/>
    <w:rPr>
      <w:rFonts w:ascii="Calibri" w:hAnsi="Calibri"/>
      <w:b/>
    </w:rPr>
  </w:style>
  <w:style w:type="character" w:customStyle="1" w:styleId="Nadpis1Char">
    <w:name w:val="Nadpis 1 Char"/>
    <w:link w:val="Nadpis1"/>
    <w:locked/>
    <w:rsid w:val="00DE5D3B"/>
    <w:rPr>
      <w:rFonts w:eastAsia="MS ????" w:cs="Times New Roman"/>
      <w:b/>
      <w:color w:val="6F9D21"/>
      <w:sz w:val="32"/>
      <w:szCs w:val="32"/>
    </w:rPr>
  </w:style>
  <w:style w:type="paragraph" w:customStyle="1" w:styleId="Stednmka21">
    <w:name w:val="Střední mřížka 21"/>
    <w:qFormat/>
    <w:rsid w:val="009A35D1"/>
    <w:pPr>
      <w:jc w:val="both"/>
    </w:pPr>
    <w:rPr>
      <w:rFonts w:eastAsia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rsid w:val="004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A5E09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sid w:val="00C44361"/>
    <w:rPr>
      <w:rFonts w:cs="Times New Roman"/>
      <w:color w:val="954F72"/>
      <w:u w:val="single"/>
    </w:rPr>
  </w:style>
  <w:style w:type="character" w:customStyle="1" w:styleId="Nadpis2Char">
    <w:name w:val="Nadpis 2 Char"/>
    <w:link w:val="Nadpis2"/>
    <w:locked/>
    <w:rsid w:val="00273095"/>
    <w:rPr>
      <w:rFonts w:ascii="Calibri" w:eastAsia="MS ????" w:hAnsi="Calibri" w:cs="Times New Roman"/>
      <w:b/>
      <w:color w:val="71972D"/>
      <w:sz w:val="26"/>
      <w:szCs w:val="26"/>
    </w:rPr>
  </w:style>
  <w:style w:type="character" w:styleId="Odkaznakoment">
    <w:name w:val="annotation reference"/>
    <w:semiHidden/>
    <w:rsid w:val="00EC3B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C3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EC3B6E"/>
    <w:rPr>
      <w:rFonts w:ascii="Calibri Light" w:hAnsi="Calibri Light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EC3B6E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EC3B6E"/>
    <w:rPr>
      <w:rFonts w:ascii="Calibri Light" w:hAnsi="Calibri Light" w:cs="Times New Roman"/>
      <w:b/>
      <w:bCs/>
      <w:sz w:val="20"/>
      <w:szCs w:val="20"/>
    </w:rPr>
  </w:style>
  <w:style w:type="paragraph" w:customStyle="1" w:styleId="Barevnstnovnzvraznn11">
    <w:name w:val="Barevné stínování – zvýraznění 11"/>
    <w:hidden/>
    <w:semiHidden/>
    <w:rsid w:val="00EC3B6E"/>
    <w:rPr>
      <w:rFonts w:ascii="Calibri Light" w:eastAsia="Times New Roman" w:hAnsi="Calibri Light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274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274327"/>
    <w:rPr>
      <w:rFonts w:ascii="Calibri" w:hAnsi="Calibri" w:cs="Times New Roman"/>
      <w:sz w:val="20"/>
      <w:szCs w:val="20"/>
    </w:rPr>
  </w:style>
  <w:style w:type="character" w:styleId="Znakapoznpodarou">
    <w:name w:val="footnote reference"/>
    <w:semiHidden/>
    <w:rsid w:val="00274327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rsid w:val="0090614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locked/>
    <w:rsid w:val="00906149"/>
    <w:rPr>
      <w:rFonts w:cs="Times New Roman"/>
      <w:sz w:val="20"/>
      <w:szCs w:val="20"/>
    </w:rPr>
  </w:style>
  <w:style w:type="character" w:styleId="Odkaznavysvtlivky">
    <w:name w:val="endnote reference"/>
    <w:rsid w:val="00906149"/>
    <w:rPr>
      <w:rFonts w:cs="Times New Roman"/>
      <w:vertAlign w:val="superscript"/>
    </w:rPr>
  </w:style>
  <w:style w:type="paragraph" w:styleId="Titulek">
    <w:name w:val="caption"/>
    <w:basedOn w:val="Normln"/>
    <w:next w:val="Normln"/>
    <w:qFormat/>
    <w:rsid w:val="00BA2769"/>
    <w:rPr>
      <w:b/>
      <w:bCs/>
      <w:sz w:val="20"/>
      <w:szCs w:val="20"/>
    </w:rPr>
  </w:style>
  <w:style w:type="paragraph" w:styleId="Bezmezer">
    <w:name w:val="No Spacing"/>
    <w:uiPriority w:val="1"/>
    <w:qFormat/>
    <w:rsid w:val="002075D7"/>
    <w:pPr>
      <w:spacing w:line="264" w:lineRule="auto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ana@zelenykruh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vondrous@zelenykruh.cz" TargetMode="External"/><Relationship Id="rId12" Type="http://schemas.openxmlformats.org/officeDocument/2006/relationships/hyperlink" Target="http://www.eeagrant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nn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zelenykruh.cz/o-na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enykruh.cz" TargetMode="External"/><Relationship Id="rId2" Type="http://schemas.openxmlformats.org/officeDocument/2006/relationships/hyperlink" Target="mailto:kancelar@zelenykruh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Odborné kontakty</vt:lpstr>
      <vt:lpstr>Odborné kontakty</vt:lpstr>
    </vt:vector>
  </TitlesOfParts>
  <Company>Ministerstvo životního prostředí ČR</Company>
  <LinksUpToDate>false</LinksUpToDate>
  <CharactersWithSpaces>6033</CharactersWithSpaces>
  <SharedDoc>false</SharedDoc>
  <HLinks>
    <vt:vector size="48" baseType="variant"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http://www.eeagrants.cz/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http://www.fondnno.cz/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http://www.zelenykruh.cz/o-nas</vt:lpwstr>
      </vt:variant>
      <vt:variant>
        <vt:lpwstr/>
      </vt:variant>
      <vt:variant>
        <vt:i4>6684687</vt:i4>
      </vt:variant>
      <vt:variant>
        <vt:i4>6</vt:i4>
      </vt:variant>
      <vt:variant>
        <vt:i4>0</vt:i4>
      </vt:variant>
      <vt:variant>
        <vt:i4>5</vt:i4>
      </vt:variant>
      <vt:variant>
        <vt:lpwstr>mailto:jiri.kana@zelenykruh.cz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mailto:daniel.vondrous@zelenykruh.cz</vt:lpwstr>
      </vt:variant>
      <vt:variant>
        <vt:lpwstr/>
      </vt:variant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mailto:ivo.kropacek@hnutiduha.cz</vt:lpwstr>
      </vt:variant>
      <vt:variant>
        <vt:lpwstr/>
      </vt:variant>
      <vt:variant>
        <vt:i4>1638480</vt:i4>
      </vt:variant>
      <vt:variant>
        <vt:i4>3</vt:i4>
      </vt:variant>
      <vt:variant>
        <vt:i4>0</vt:i4>
      </vt:variant>
      <vt:variant>
        <vt:i4>5</vt:i4>
      </vt:variant>
      <vt:variant>
        <vt:lpwstr>http://www.zelenykruh.cz/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mailto:kancelar@zelenykruh.cz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Odborné kontakty</dc:title>
  <dc:creator>PR</dc:creator>
  <cp:lastModifiedBy>PR</cp:lastModifiedBy>
  <cp:revision>3</cp:revision>
  <cp:lastPrinted>2015-08-13T12:55:00Z</cp:lastPrinted>
  <dcterms:created xsi:type="dcterms:W3CDTF">2015-12-16T11:16:00Z</dcterms:created>
  <dcterms:modified xsi:type="dcterms:W3CDTF">2015-12-17T10:04:00Z</dcterms:modified>
</cp:coreProperties>
</file>